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902BAF" w14:textId="136449ED" w:rsidR="0076282D" w:rsidRPr="00835ED1" w:rsidRDefault="000B4A23" w:rsidP="00166A8C">
      <w:pPr>
        <w:pStyle w:val="Corpsdetexte"/>
        <w:rPr>
          <w:b/>
          <w:bCs/>
        </w:rPr>
      </w:pPr>
      <w:r>
        <w:rPr>
          <w:b/>
          <w:bCs/>
        </w:rPr>
        <w:t>Remarques de l’</w:t>
      </w:r>
      <w:proofErr w:type="spellStart"/>
      <w:r>
        <w:rPr>
          <w:b/>
          <w:bCs/>
        </w:rPr>
        <w:t>Andra</w:t>
      </w:r>
      <w:proofErr w:type="spellEnd"/>
      <w:r>
        <w:rPr>
          <w:b/>
          <w:bCs/>
        </w:rPr>
        <w:t xml:space="preserve"> sur le p</w:t>
      </w:r>
      <w:r w:rsidR="00835ED1" w:rsidRPr="00835ED1">
        <w:rPr>
          <w:b/>
          <w:bCs/>
        </w:rPr>
        <w:t>rojet de décision relative aux modalités de déclaration et à la codification des critères de déclaration des événements significatifs pour la radioprotection des travailleurs, des patients, de la population ou de l’environnement</w:t>
      </w:r>
    </w:p>
    <w:tbl>
      <w:tblPr>
        <w:tblStyle w:val="Grilledutableau"/>
        <w:tblW w:w="0" w:type="auto"/>
        <w:tblLook w:val="04A0" w:firstRow="1" w:lastRow="0" w:firstColumn="1" w:lastColumn="0" w:noHBand="0" w:noVBand="1"/>
      </w:tblPr>
      <w:tblGrid>
        <w:gridCol w:w="4441"/>
        <w:gridCol w:w="4450"/>
      </w:tblGrid>
      <w:tr w:rsidR="00835ED1" w14:paraId="6386361B" w14:textId="77777777" w:rsidTr="00072AF4">
        <w:tc>
          <w:tcPr>
            <w:tcW w:w="4441" w:type="dxa"/>
            <w:shd w:val="clear" w:color="auto" w:fill="EEECE1" w:themeFill="background2"/>
          </w:tcPr>
          <w:p w14:paraId="2BCDCFD5" w14:textId="255A2458" w:rsidR="00835ED1" w:rsidRPr="00AA303F" w:rsidRDefault="00835ED1" w:rsidP="00166A8C">
            <w:pPr>
              <w:pStyle w:val="Corpsdetexte"/>
              <w:rPr>
                <w:b/>
                <w:bCs/>
              </w:rPr>
            </w:pPr>
            <w:r w:rsidRPr="00AA303F">
              <w:rPr>
                <w:b/>
                <w:bCs/>
              </w:rPr>
              <w:t>Article de la décision</w:t>
            </w:r>
          </w:p>
        </w:tc>
        <w:tc>
          <w:tcPr>
            <w:tcW w:w="4450" w:type="dxa"/>
            <w:shd w:val="clear" w:color="auto" w:fill="EEECE1" w:themeFill="background2"/>
          </w:tcPr>
          <w:p w14:paraId="11AAE0FE" w14:textId="46DED2CF" w:rsidR="00835ED1" w:rsidRPr="00AA303F" w:rsidRDefault="00835ED1" w:rsidP="00166A8C">
            <w:pPr>
              <w:pStyle w:val="Corpsdetexte"/>
              <w:rPr>
                <w:b/>
                <w:bCs/>
              </w:rPr>
            </w:pPr>
            <w:r w:rsidRPr="00AA303F">
              <w:rPr>
                <w:b/>
                <w:bCs/>
              </w:rPr>
              <w:t>Commentaire</w:t>
            </w:r>
          </w:p>
        </w:tc>
      </w:tr>
      <w:tr w:rsidR="00835ED1" w14:paraId="5092D199" w14:textId="77777777" w:rsidTr="00072AF4">
        <w:tc>
          <w:tcPr>
            <w:tcW w:w="4441" w:type="dxa"/>
          </w:tcPr>
          <w:p w14:paraId="03B8DA2C" w14:textId="77777777" w:rsidR="00835ED1" w:rsidRPr="00072AF4" w:rsidRDefault="00835ED1" w:rsidP="00166A8C">
            <w:pPr>
              <w:pStyle w:val="Corpsdetexte"/>
              <w:rPr>
                <w:b/>
                <w:bCs/>
              </w:rPr>
            </w:pPr>
            <w:r w:rsidRPr="00072AF4">
              <w:rPr>
                <w:b/>
                <w:bCs/>
              </w:rPr>
              <w:t>Article 8</w:t>
            </w:r>
          </w:p>
          <w:p w14:paraId="0A84C3E9" w14:textId="69D2CFBD" w:rsidR="005B761D" w:rsidRDefault="005B761D" w:rsidP="00166A8C">
            <w:pPr>
              <w:pStyle w:val="Corpsdetexte"/>
            </w:pPr>
            <w:r>
              <w:t>Délai de déclaration d’un événement à l’ASN dans un délai de deux jours après sa détection</w:t>
            </w:r>
          </w:p>
        </w:tc>
        <w:tc>
          <w:tcPr>
            <w:tcW w:w="4450" w:type="dxa"/>
          </w:tcPr>
          <w:p w14:paraId="225C78CB" w14:textId="32BAE48D" w:rsidR="00CB65D9" w:rsidRDefault="00072AF4" w:rsidP="00166A8C">
            <w:pPr>
              <w:pStyle w:val="Corpsdetexte"/>
            </w:pPr>
            <w:r>
              <w:t xml:space="preserve">Ce délai doit être harmonisé </w:t>
            </w:r>
            <w:r w:rsidRPr="00C97124">
              <w:t>avec les dispositions de l’arrêté INB (Article 2.6.4, I et II) qui fixent des modalités de déclaration plus contraignantes que celles prévues par le projet de décision. C’est également le cas pour ce qui concerne les dispositions du code du travail (art. R. 4451-77 : déclaration au CSE et à l’ASN) et du code de la défense (R. 1333-22) en cas d’actes de malveillance, qui visent également des déclarations sans délai</w:t>
            </w:r>
          </w:p>
        </w:tc>
      </w:tr>
    </w:tbl>
    <w:p w14:paraId="008A2426" w14:textId="77777777" w:rsidR="00591BF5" w:rsidRDefault="00591BF5" w:rsidP="008857C1">
      <w:pPr>
        <w:pStyle w:val="Corpsdetexte"/>
        <w:rPr>
          <w:b/>
          <w:bCs/>
        </w:rPr>
      </w:pPr>
    </w:p>
    <w:p w14:paraId="4E9FD31F" w14:textId="68CA67C7" w:rsidR="00835ED1" w:rsidRDefault="000B4A23" w:rsidP="008857C1">
      <w:pPr>
        <w:pStyle w:val="Corpsdetexte"/>
        <w:rPr>
          <w:b/>
          <w:bCs/>
        </w:rPr>
      </w:pPr>
      <w:r>
        <w:rPr>
          <w:b/>
          <w:bCs/>
        </w:rPr>
        <w:t>Remarques de l’</w:t>
      </w:r>
      <w:proofErr w:type="spellStart"/>
      <w:r>
        <w:rPr>
          <w:b/>
          <w:bCs/>
        </w:rPr>
        <w:t>Andra</w:t>
      </w:r>
      <w:proofErr w:type="spellEnd"/>
      <w:r>
        <w:rPr>
          <w:b/>
          <w:bCs/>
        </w:rPr>
        <w:t xml:space="preserve"> sur le p</w:t>
      </w:r>
      <w:r w:rsidRPr="00835ED1">
        <w:rPr>
          <w:b/>
          <w:bCs/>
        </w:rPr>
        <w:t xml:space="preserve">rojet de </w:t>
      </w:r>
      <w:r w:rsidR="0005369A">
        <w:rPr>
          <w:b/>
          <w:bCs/>
        </w:rPr>
        <w:t>G</w:t>
      </w:r>
      <w:r w:rsidR="00591BF5">
        <w:rPr>
          <w:b/>
          <w:bCs/>
        </w:rPr>
        <w:t>uide n°11 : déclaration des événements significatifs de radioprotection</w:t>
      </w:r>
    </w:p>
    <w:tbl>
      <w:tblPr>
        <w:tblStyle w:val="Grilledutableau"/>
        <w:tblW w:w="0" w:type="auto"/>
        <w:tblLook w:val="04A0" w:firstRow="1" w:lastRow="0" w:firstColumn="1" w:lastColumn="0" w:noHBand="0" w:noVBand="1"/>
      </w:tblPr>
      <w:tblGrid>
        <w:gridCol w:w="4443"/>
        <w:gridCol w:w="4448"/>
      </w:tblGrid>
      <w:tr w:rsidR="00C022AC" w14:paraId="7A651404" w14:textId="77777777" w:rsidTr="0080541B">
        <w:tc>
          <w:tcPr>
            <w:tcW w:w="4443" w:type="dxa"/>
            <w:shd w:val="clear" w:color="auto" w:fill="EEECE1" w:themeFill="background2"/>
          </w:tcPr>
          <w:p w14:paraId="6D436DE9" w14:textId="521AD48A" w:rsidR="0005369A" w:rsidRPr="00AA303F" w:rsidRDefault="00172AD2" w:rsidP="00C6202F">
            <w:pPr>
              <w:pStyle w:val="Corpsdetexte"/>
              <w:rPr>
                <w:b/>
                <w:bCs/>
              </w:rPr>
            </w:pPr>
            <w:r>
              <w:rPr>
                <w:b/>
                <w:bCs/>
              </w:rPr>
              <w:t>Pa</w:t>
            </w:r>
            <w:r w:rsidR="005C562F">
              <w:rPr>
                <w:b/>
                <w:bCs/>
              </w:rPr>
              <w:t>ragraphe du guide</w:t>
            </w:r>
            <w:r>
              <w:rPr>
                <w:b/>
                <w:bCs/>
              </w:rPr>
              <w:t xml:space="preserve">, </w:t>
            </w:r>
            <w:r w:rsidR="005C562F">
              <w:rPr>
                <w:b/>
                <w:bCs/>
              </w:rPr>
              <w:t>page</w:t>
            </w:r>
          </w:p>
        </w:tc>
        <w:tc>
          <w:tcPr>
            <w:tcW w:w="4448" w:type="dxa"/>
            <w:shd w:val="clear" w:color="auto" w:fill="EEECE1" w:themeFill="background2"/>
          </w:tcPr>
          <w:p w14:paraId="4EDC7443" w14:textId="77777777" w:rsidR="0005369A" w:rsidRPr="00AA303F" w:rsidRDefault="0005369A" w:rsidP="00C6202F">
            <w:pPr>
              <w:pStyle w:val="Corpsdetexte"/>
              <w:rPr>
                <w:b/>
                <w:bCs/>
              </w:rPr>
            </w:pPr>
            <w:r w:rsidRPr="00AA303F">
              <w:rPr>
                <w:b/>
                <w:bCs/>
              </w:rPr>
              <w:t>Commentaires</w:t>
            </w:r>
          </w:p>
        </w:tc>
      </w:tr>
      <w:tr w:rsidR="00C022AC" w14:paraId="178DD48A" w14:textId="77777777" w:rsidTr="0080541B">
        <w:tc>
          <w:tcPr>
            <w:tcW w:w="4443" w:type="dxa"/>
          </w:tcPr>
          <w:p w14:paraId="5E5CE886" w14:textId="77777777" w:rsidR="0005369A" w:rsidRPr="005C562F" w:rsidRDefault="00172AD2" w:rsidP="00C6202F">
            <w:pPr>
              <w:pStyle w:val="Corpsdetexte"/>
              <w:rPr>
                <w:b/>
                <w:bCs/>
              </w:rPr>
            </w:pPr>
            <w:r w:rsidRPr="005C562F">
              <w:rPr>
                <w:b/>
                <w:bCs/>
              </w:rPr>
              <w:t xml:space="preserve">1.2.2. Obligations réglementaires, page 6 </w:t>
            </w:r>
          </w:p>
          <w:p w14:paraId="12BDC9F4" w14:textId="5E739B2D" w:rsidR="006B742C" w:rsidRDefault="00172AD2" w:rsidP="005C562F">
            <w:pPr>
              <w:pStyle w:val="Corpsdetexte"/>
            </w:pPr>
            <w:r>
              <w:t>« Le code du travail impose aux chefs d’établissement comprenant</w:t>
            </w:r>
            <w:r w:rsidR="005C562F">
              <w:t xml:space="preserve"> au moins une installation nucléaire de base […]. </w:t>
            </w:r>
            <w:r w:rsidR="006B742C">
              <w:t>Cela concerne en particulier la déclaration d’ESR</w:t>
            </w:r>
            <w:r w:rsidR="005C562F">
              <w:t xml:space="preserve"> impliquant des intervenants d’entreprises extérieures</w:t>
            </w:r>
            <w:r w:rsidR="006B742C">
              <w:t xml:space="preserve">. </w:t>
            </w:r>
          </w:p>
        </w:tc>
        <w:tc>
          <w:tcPr>
            <w:tcW w:w="4448" w:type="dxa"/>
          </w:tcPr>
          <w:p w14:paraId="15F949B8" w14:textId="01FFC80F" w:rsidR="0005369A" w:rsidRDefault="000A735D" w:rsidP="00C6202F">
            <w:pPr>
              <w:pStyle w:val="Corpsdetexte"/>
            </w:pPr>
            <w:r>
              <w:t>Par cohérence avec le dernier paragraphe de la page 8, i</w:t>
            </w:r>
            <w:r w:rsidR="006B742C">
              <w:t xml:space="preserve">l pourrait être ajouté </w:t>
            </w:r>
            <w:r w:rsidR="00172AD2">
              <w:t xml:space="preserve">que la déclaration d’événement </w:t>
            </w:r>
            <w:r>
              <w:t>dans le cas d’une activité</w:t>
            </w:r>
            <w:r w:rsidR="006B742C">
              <w:t xml:space="preserve"> sous-traitée</w:t>
            </w:r>
            <w:r>
              <w:t>,</w:t>
            </w:r>
            <w:r w:rsidR="006B742C">
              <w:t xml:space="preserve"> fait l’objet d’</w:t>
            </w:r>
            <w:r w:rsidR="00172AD2">
              <w:t>une</w:t>
            </w:r>
            <w:r w:rsidR="006B742C">
              <w:t xml:space="preserve"> </w:t>
            </w:r>
            <w:proofErr w:type="spellStart"/>
            <w:r w:rsidR="006B742C">
              <w:t>co</w:t>
            </w:r>
            <w:proofErr w:type="spellEnd"/>
            <w:r w:rsidR="006B742C">
              <w:t>-déclaration entre l’employeur de</w:t>
            </w:r>
            <w:r w:rsidR="00C022AC">
              <w:t xml:space="preserve"> l’entreprise extérieure</w:t>
            </w:r>
            <w:r w:rsidR="006B742C">
              <w:t xml:space="preserve"> et </w:t>
            </w:r>
            <w:r w:rsidR="00071067">
              <w:t>le chef de l’INB.</w:t>
            </w:r>
            <w:r w:rsidR="00172AD2">
              <w:t xml:space="preserve"> </w:t>
            </w:r>
          </w:p>
        </w:tc>
      </w:tr>
      <w:tr w:rsidR="00C022AC" w14:paraId="150ACD25" w14:textId="77777777" w:rsidTr="0080541B">
        <w:tc>
          <w:tcPr>
            <w:tcW w:w="4443" w:type="dxa"/>
          </w:tcPr>
          <w:p w14:paraId="0591515E" w14:textId="2058F8BB" w:rsidR="0005369A" w:rsidRPr="005C562F" w:rsidRDefault="00C022AC" w:rsidP="00C6202F">
            <w:pPr>
              <w:pStyle w:val="Corpsdetexte"/>
              <w:rPr>
                <w:b/>
                <w:bCs/>
              </w:rPr>
            </w:pPr>
            <w:r w:rsidRPr="005C562F">
              <w:rPr>
                <w:b/>
                <w:bCs/>
              </w:rPr>
              <w:t>2.2 Délais</w:t>
            </w:r>
            <w:r w:rsidR="005C562F" w:rsidRPr="005C562F">
              <w:rPr>
                <w:b/>
                <w:bCs/>
              </w:rPr>
              <w:t>, page 9</w:t>
            </w:r>
          </w:p>
          <w:p w14:paraId="371F6A8E" w14:textId="20B60898" w:rsidR="00C022AC" w:rsidRDefault="005C562F" w:rsidP="00C6202F">
            <w:pPr>
              <w:pStyle w:val="Corpsdetexte"/>
            </w:pPr>
            <w:r>
              <w:t>Le délai de déclaration d’un ESR est défini à</w:t>
            </w:r>
            <w:r w:rsidR="007B570F">
              <w:t xml:space="preserve"> </w:t>
            </w:r>
            <w:r>
              <w:t>l’article 8 de la décision ASN [4], à savoir deux jours ouvrés après la détection de l’</w:t>
            </w:r>
            <w:r w:rsidR="00C022AC">
              <w:t>événement</w:t>
            </w:r>
          </w:p>
        </w:tc>
        <w:tc>
          <w:tcPr>
            <w:tcW w:w="4448" w:type="dxa"/>
          </w:tcPr>
          <w:p w14:paraId="73C70E51" w14:textId="45A0E88D" w:rsidR="004633F7" w:rsidRDefault="00A745E0" w:rsidP="00A745E0">
            <w:pPr>
              <w:pStyle w:val="Corpsdetexte"/>
              <w:rPr>
                <w:color w:val="1F497D"/>
              </w:rPr>
            </w:pPr>
            <w:r>
              <w:t xml:space="preserve">Ce délai doit être harmonisé </w:t>
            </w:r>
            <w:r w:rsidR="004633F7" w:rsidRPr="00C97124">
              <w:t xml:space="preserve">avec les dispositions de l’arrêté INB (Article 2.6.4, I et II) qui fixent des modalités de déclaration plus contraignantes que celles prévues par le projet de décision. </w:t>
            </w:r>
            <w:r w:rsidRPr="00C97124">
              <w:t xml:space="preserve">C’est également le cas pour ce qui concerne </w:t>
            </w:r>
            <w:r w:rsidR="004633F7" w:rsidRPr="00C97124">
              <w:t>les disposition</w:t>
            </w:r>
            <w:r w:rsidR="00C97124" w:rsidRPr="00C97124">
              <w:t>s</w:t>
            </w:r>
            <w:r w:rsidR="004633F7" w:rsidRPr="00C97124">
              <w:t xml:space="preserve"> du code du travail (art. R. 4451-77</w:t>
            </w:r>
            <w:r w:rsidRPr="00C97124">
              <w:t xml:space="preserve"> : </w:t>
            </w:r>
            <w:r w:rsidR="004633F7" w:rsidRPr="00C97124">
              <w:t xml:space="preserve">déclaration au CSE </w:t>
            </w:r>
            <w:r w:rsidRPr="00C97124">
              <w:t>et à l’</w:t>
            </w:r>
            <w:r w:rsidR="004633F7" w:rsidRPr="00C97124">
              <w:t xml:space="preserve">ASN) et </w:t>
            </w:r>
            <w:r w:rsidRPr="00C97124">
              <w:t xml:space="preserve">du code de la défense </w:t>
            </w:r>
            <w:r w:rsidR="004633F7" w:rsidRPr="00C97124">
              <w:t>(R. 1333-22</w:t>
            </w:r>
            <w:r w:rsidRPr="00C97124">
              <w:t xml:space="preserve">) en cas d’actes de malveillance, </w:t>
            </w:r>
            <w:r w:rsidR="004633F7" w:rsidRPr="00C97124">
              <w:t>qui visent également des déclarations sans délai.</w:t>
            </w:r>
            <w:r w:rsidR="00C97124">
              <w:t xml:space="preserve"> </w:t>
            </w:r>
          </w:p>
          <w:p w14:paraId="4B479ACF" w14:textId="49AD8A40" w:rsidR="004633F7" w:rsidRDefault="004633F7" w:rsidP="00C6202F">
            <w:pPr>
              <w:pStyle w:val="Corpsdetexte"/>
            </w:pPr>
          </w:p>
        </w:tc>
      </w:tr>
      <w:tr w:rsidR="00C022AC" w14:paraId="4A70D640" w14:textId="77777777" w:rsidTr="0080541B">
        <w:tc>
          <w:tcPr>
            <w:tcW w:w="4443" w:type="dxa"/>
          </w:tcPr>
          <w:p w14:paraId="5A6CC507" w14:textId="7D235E8C" w:rsidR="0005369A" w:rsidRPr="007B570F" w:rsidRDefault="007F1EBA" w:rsidP="00C6202F">
            <w:pPr>
              <w:pStyle w:val="Corpsdetexte"/>
              <w:rPr>
                <w:b/>
                <w:bCs/>
              </w:rPr>
            </w:pPr>
            <w:r w:rsidRPr="007B570F">
              <w:rPr>
                <w:b/>
                <w:bCs/>
              </w:rPr>
              <w:t>2.4. Destinataires : haut de la p12</w:t>
            </w:r>
          </w:p>
        </w:tc>
        <w:tc>
          <w:tcPr>
            <w:tcW w:w="4448" w:type="dxa"/>
          </w:tcPr>
          <w:p w14:paraId="19CF8D6A" w14:textId="4E997456" w:rsidR="0005369A" w:rsidRDefault="00F02DE6" w:rsidP="00C6202F">
            <w:pPr>
              <w:pStyle w:val="Corpsdetexte"/>
            </w:pPr>
            <w:r w:rsidRPr="007B570F">
              <w:t xml:space="preserve">Les valeurs de dose sont celles citées aux articles </w:t>
            </w:r>
            <w:hyperlink r:id="rId8" w:history="1">
              <w:r w:rsidRPr="007B570F">
                <w:t>R. 4451-6</w:t>
              </w:r>
            </w:hyperlink>
            <w:r w:rsidRPr="007B570F">
              <w:t>, </w:t>
            </w:r>
            <w:hyperlink r:id="rId9" w:history="1">
              <w:r w:rsidRPr="007B570F">
                <w:t>R. 4451-7 </w:t>
              </w:r>
            </w:hyperlink>
            <w:r w:rsidRPr="007B570F">
              <w:t>et </w:t>
            </w:r>
            <w:hyperlink r:id="rId10" w:tooltip="Code du travail - art. R4451-8 (V)" w:history="1">
              <w:r w:rsidRPr="007B570F">
                <w:t>R. 4451-8</w:t>
              </w:r>
            </w:hyperlink>
            <w:r w:rsidRPr="007B570F">
              <w:t xml:space="preserve"> du code du travail</w:t>
            </w:r>
            <w:r w:rsidR="007F1EBA" w:rsidRPr="007B570F">
              <w:t xml:space="preserve"> et pourraient être rappelées</w:t>
            </w:r>
          </w:p>
        </w:tc>
      </w:tr>
      <w:tr w:rsidR="00434766" w14:paraId="15B48A31" w14:textId="77777777" w:rsidTr="0080541B">
        <w:tc>
          <w:tcPr>
            <w:tcW w:w="4443" w:type="dxa"/>
          </w:tcPr>
          <w:p w14:paraId="65D83EAC" w14:textId="54A15D8B" w:rsidR="00434766" w:rsidRPr="007B570F" w:rsidRDefault="00434766" w:rsidP="00434766">
            <w:pPr>
              <w:pStyle w:val="Corpsdetexte"/>
              <w:rPr>
                <w:b/>
                <w:bCs/>
              </w:rPr>
            </w:pPr>
            <w:r w:rsidRPr="007B570F">
              <w:rPr>
                <w:b/>
                <w:bCs/>
              </w:rPr>
              <w:t>Logigramme, p14</w:t>
            </w:r>
          </w:p>
        </w:tc>
        <w:tc>
          <w:tcPr>
            <w:tcW w:w="4448" w:type="dxa"/>
          </w:tcPr>
          <w:p w14:paraId="33E93C21" w14:textId="3C97B006" w:rsidR="00434766" w:rsidRDefault="00434766" w:rsidP="00434766">
            <w:pPr>
              <w:pStyle w:val="Corpsdetexte"/>
            </w:pPr>
            <w:r>
              <w:t xml:space="preserve">Remplacer dans le logigramme « perte de contrôle d’une source » pas endommagement </w:t>
            </w:r>
            <w:r w:rsidR="00903E7C">
              <w:t xml:space="preserve">ou dysfonctionnement d’un appareil contenant </w:t>
            </w:r>
            <w:r>
              <w:t xml:space="preserve">une source </w:t>
            </w:r>
            <w:r w:rsidR="00903E7C">
              <w:t xml:space="preserve">radioactive </w:t>
            </w:r>
            <w:r>
              <w:t>(en référence au critère 5)</w:t>
            </w:r>
          </w:p>
        </w:tc>
      </w:tr>
      <w:tr w:rsidR="00434766" w14:paraId="14CCCDD7" w14:textId="77777777" w:rsidTr="0080541B">
        <w:tc>
          <w:tcPr>
            <w:tcW w:w="4443" w:type="dxa"/>
          </w:tcPr>
          <w:p w14:paraId="4A264939" w14:textId="5DBE701D" w:rsidR="00434766" w:rsidRDefault="00434766" w:rsidP="00434766">
            <w:pPr>
              <w:pStyle w:val="Corpsdetexte"/>
            </w:pPr>
            <w:r w:rsidRPr="00237A34">
              <w:rPr>
                <w:b/>
                <w:bCs/>
              </w:rPr>
              <w:t>Critère 1</w:t>
            </w:r>
            <w:r>
              <w:t xml:space="preserve"> - Exposition d’un ou plusieurs travailleurs, p15</w:t>
            </w:r>
          </w:p>
        </w:tc>
        <w:tc>
          <w:tcPr>
            <w:tcW w:w="4448" w:type="dxa"/>
          </w:tcPr>
          <w:p w14:paraId="581144FD" w14:textId="31D1D928" w:rsidR="0036350A" w:rsidRDefault="00E956AB" w:rsidP="00434766">
            <w:pPr>
              <w:pStyle w:val="Corpsdetexte"/>
            </w:pPr>
            <w:r>
              <w:t>S’agissant des travailleurs classés, l</w:t>
            </w:r>
            <w:r w:rsidR="00434766">
              <w:t>es critères 1.2 et 1.3 traitent d’un dépassement ponctuel</w:t>
            </w:r>
            <w:r>
              <w:t xml:space="preserve"> </w:t>
            </w:r>
            <w:r w:rsidR="00434766">
              <w:t xml:space="preserve">de </w:t>
            </w:r>
            <w:r>
              <w:t xml:space="preserve">l’une des </w:t>
            </w:r>
            <w:r w:rsidR="00434766">
              <w:t>valeurs de dose fixées à l’article R</w:t>
            </w:r>
            <w:r>
              <w:t>.4451-57 du code du travail</w:t>
            </w:r>
            <w:r w:rsidR="00171D5D">
              <w:t xml:space="preserve"> (au cours de douze </w:t>
            </w:r>
            <w:r w:rsidR="00171D5D">
              <w:lastRenderedPageBreak/>
              <w:t>mois consécutifs)</w:t>
            </w:r>
            <w:r w:rsidR="00434766">
              <w:t>, c’est-à-dire d’un</w:t>
            </w:r>
            <w:r>
              <w:t xml:space="preserve"> dépassement</w:t>
            </w:r>
            <w:r w:rsidR="00FF2313">
              <w:t xml:space="preserve"> non prévu et</w:t>
            </w:r>
            <w:r>
              <w:t xml:space="preserve"> enregistré en une seule opération. </w:t>
            </w:r>
            <w:r w:rsidR="0036350A">
              <w:t xml:space="preserve">Pour éviter toute ambiguïté, il serait préférable de </w:t>
            </w:r>
            <w:r w:rsidR="0034185B">
              <w:t xml:space="preserve">le </w:t>
            </w:r>
            <w:r w:rsidR="00EB73EF">
              <w:t xml:space="preserve">spécifier </w:t>
            </w:r>
            <w:r w:rsidR="0034185B">
              <w:t xml:space="preserve">comme tel. </w:t>
            </w:r>
          </w:p>
          <w:p w14:paraId="39D3FE3A" w14:textId="29909054" w:rsidR="00434766" w:rsidRDefault="00434766" w:rsidP="00434766">
            <w:pPr>
              <w:pStyle w:val="Corpsdetexte"/>
            </w:pPr>
          </w:p>
        </w:tc>
      </w:tr>
      <w:tr w:rsidR="0034185B" w14:paraId="59A08185" w14:textId="77777777" w:rsidTr="0080541B">
        <w:tc>
          <w:tcPr>
            <w:tcW w:w="4443" w:type="dxa"/>
          </w:tcPr>
          <w:p w14:paraId="4D8F9A0A" w14:textId="66111491" w:rsidR="0034185B" w:rsidRDefault="0034185B" w:rsidP="00434766">
            <w:pPr>
              <w:pStyle w:val="Corpsdetexte"/>
              <w:rPr>
                <w:b/>
                <w:bCs/>
              </w:rPr>
            </w:pPr>
            <w:r>
              <w:rPr>
                <w:b/>
                <w:bCs/>
              </w:rPr>
              <w:lastRenderedPageBreak/>
              <w:t>Critère 5 – Endommagement ou dysfonctionnement d’une source de rayonnements ionisants</w:t>
            </w:r>
            <w:r w:rsidR="00A97F40">
              <w:rPr>
                <w:b/>
                <w:bCs/>
              </w:rPr>
              <w:t xml:space="preserve">, </w:t>
            </w:r>
            <w:r w:rsidR="00A97F40" w:rsidRPr="00A97F40">
              <w:t>p27</w:t>
            </w:r>
          </w:p>
          <w:p w14:paraId="382FDC29" w14:textId="7298347C" w:rsidR="00A97F40" w:rsidRPr="0055524F" w:rsidRDefault="00A97F40" w:rsidP="00434766">
            <w:pPr>
              <w:pStyle w:val="Corpsdetexte"/>
            </w:pPr>
            <w:r w:rsidRPr="0055524F">
              <w:t>Critère 5.1</w:t>
            </w:r>
            <w:r w:rsidR="0055524F" w:rsidRPr="0055524F">
              <w:t> : Evénement sur une source scellée conduisant à une dispersion de substances radioactives hors de la source ou événement portant atteinte à l’intégrité d’une source radioactive scellée</w:t>
            </w:r>
            <w:r w:rsidRPr="0055524F">
              <w:t xml:space="preserve"> </w:t>
            </w:r>
          </w:p>
        </w:tc>
        <w:tc>
          <w:tcPr>
            <w:tcW w:w="4448" w:type="dxa"/>
          </w:tcPr>
          <w:p w14:paraId="77119D74" w14:textId="432B923B" w:rsidR="0055524F" w:rsidRDefault="00A97F40" w:rsidP="00A97F40">
            <w:r>
              <w:t>Parmi les exemples illustratifs du champ d’application du critère 5.1.</w:t>
            </w:r>
            <w:r w:rsidR="003C7828">
              <w:t>,</w:t>
            </w:r>
            <w:r>
              <w:t xml:space="preserve"> il conviendrait d’indiquer que ne sont pas considérés les dépôts d’activité fréquemment observés sur les sources scellées </w:t>
            </w:r>
            <w:r w:rsidR="003C7828">
              <w:t xml:space="preserve">de type alpha </w:t>
            </w:r>
            <w:r w:rsidR="0055524F">
              <w:t xml:space="preserve">qui présentent une certaine fragilité et qui sont </w:t>
            </w:r>
            <w:r>
              <w:t xml:space="preserve">utilisées pour </w:t>
            </w:r>
            <w:r w:rsidR="003C7828">
              <w:t>l’étalonnage et la vérification métrologique d’appareils de mesure</w:t>
            </w:r>
            <w:r w:rsidR="0055524F">
              <w:t>.</w:t>
            </w:r>
            <w:r w:rsidR="003C7828">
              <w:t xml:space="preserve"> </w:t>
            </w:r>
            <w:r w:rsidR="00903E7C">
              <w:t>Il conviendrait par ailleurs d’indiquer dans le critère que les sources visées sont des sources de rayonnements ionisants supérieurs aux seuils d’exemption.</w:t>
            </w:r>
          </w:p>
          <w:p w14:paraId="1F1DE9D6" w14:textId="79D258E8" w:rsidR="0034185B" w:rsidRDefault="0034185B" w:rsidP="00434766">
            <w:pPr>
              <w:pStyle w:val="Corpsdetexte"/>
            </w:pPr>
          </w:p>
        </w:tc>
      </w:tr>
      <w:tr w:rsidR="00434766" w14:paraId="1C4AF8AB" w14:textId="77777777" w:rsidTr="0080541B">
        <w:tc>
          <w:tcPr>
            <w:tcW w:w="4443" w:type="dxa"/>
          </w:tcPr>
          <w:p w14:paraId="580A4BD9" w14:textId="0A3276A9" w:rsidR="00AD76CE" w:rsidRPr="00AD76CE" w:rsidRDefault="00AD76CE" w:rsidP="00434766">
            <w:pPr>
              <w:pStyle w:val="Corpsdetexte"/>
              <w:rPr>
                <w:b/>
                <w:bCs/>
              </w:rPr>
            </w:pPr>
            <w:r w:rsidRPr="00AD76CE">
              <w:rPr>
                <w:b/>
                <w:bCs/>
              </w:rPr>
              <w:t>Critère 7 -Défaillance dans les dispositions organisationnelles de radioprotection</w:t>
            </w:r>
          </w:p>
          <w:p w14:paraId="4CB9001E" w14:textId="2484083C" w:rsidR="00434766" w:rsidRDefault="00AD76CE" w:rsidP="00434766">
            <w:pPr>
              <w:pStyle w:val="Corpsdetexte"/>
            </w:pPr>
            <w:r>
              <w:t>Critère 7.3</w:t>
            </w:r>
            <w:r w:rsidR="00C8334E">
              <w:t> : Défaillance dans la réalisation d’une opération susceptible d’entraîner un dépassement d’une valeur limite d’exposition professionnelle […] du fait :</w:t>
            </w:r>
          </w:p>
          <w:p w14:paraId="6477B447" w14:textId="77777777" w:rsidR="00C8334E" w:rsidRDefault="00C8334E" w:rsidP="00C8334E">
            <w:pPr>
              <w:pStyle w:val="Corpsdetexte"/>
              <w:numPr>
                <w:ilvl w:val="0"/>
                <w:numId w:val="50"/>
              </w:numPr>
            </w:pPr>
            <w:r>
              <w:t>De l’absence d’évaluation des risques,</w:t>
            </w:r>
          </w:p>
          <w:p w14:paraId="3A3C70EA" w14:textId="77777777" w:rsidR="00C8334E" w:rsidRDefault="00C8334E" w:rsidP="00C8334E">
            <w:pPr>
              <w:pStyle w:val="Corpsdetexte"/>
              <w:numPr>
                <w:ilvl w:val="0"/>
                <w:numId w:val="50"/>
              </w:numPr>
            </w:pPr>
            <w:r>
              <w:t>De lacunes significatives dans l’élaboration de cette évaluation,</w:t>
            </w:r>
          </w:p>
          <w:p w14:paraId="5D761DCA" w14:textId="499CCF69" w:rsidR="00C8334E" w:rsidRDefault="00C8334E" w:rsidP="00C8334E">
            <w:pPr>
              <w:pStyle w:val="Corpsdetexte"/>
              <w:numPr>
                <w:ilvl w:val="0"/>
                <w:numId w:val="50"/>
              </w:numPr>
            </w:pPr>
            <w:r>
              <w:t>De lacunes significatives dans la prise en compte de cette évaluation.</w:t>
            </w:r>
          </w:p>
        </w:tc>
        <w:tc>
          <w:tcPr>
            <w:tcW w:w="4448" w:type="dxa"/>
          </w:tcPr>
          <w:p w14:paraId="1761C18D" w14:textId="28F659EC" w:rsidR="00434766" w:rsidRDefault="00434766" w:rsidP="00434766">
            <w:pPr>
              <w:pStyle w:val="Corpsdetexte"/>
            </w:pPr>
            <w:r>
              <w:t>L</w:t>
            </w:r>
            <w:r w:rsidR="00AD76CE">
              <w:t xml:space="preserve">a demande </w:t>
            </w:r>
            <w:r w:rsidR="00C8334E">
              <w:t xml:space="preserve">(page 31) </w:t>
            </w:r>
            <w:r w:rsidR="00AD76CE">
              <w:t xml:space="preserve">consistant à ce que pour les INB, </w:t>
            </w:r>
            <w:r w:rsidR="00AD76CE" w:rsidRPr="00AD76CE">
              <w:rPr>
                <w:i/>
                <w:iCs/>
              </w:rPr>
              <w:t>les modalités conduisant à la déclaration d’événements selon le sous-critère 7.3 sont à définir par l’exploitant de l’INB dans les RGE</w:t>
            </w:r>
            <w:r w:rsidR="00AD76CE">
              <w:t xml:space="preserve"> doit être </w:t>
            </w:r>
            <w:r w:rsidR="00C8334E">
              <w:t>a minima explicitée</w:t>
            </w:r>
            <w:r w:rsidR="008751C0">
              <w:t>. En effet,</w:t>
            </w:r>
            <w:r>
              <w:t xml:space="preserve"> </w:t>
            </w:r>
            <w:r w:rsidR="008751C0">
              <w:t xml:space="preserve">comment </w:t>
            </w:r>
            <w:r>
              <w:t>le</w:t>
            </w:r>
            <w:r w:rsidR="008751C0">
              <w:t>s RGE peuvent-elles prendre en</w:t>
            </w:r>
            <w:r w:rsidR="007F525F">
              <w:t xml:space="preserve"> compte</w:t>
            </w:r>
            <w:r>
              <w:t xml:space="preserve"> des </w:t>
            </w:r>
            <w:r w:rsidR="008751C0">
              <w:t>lacunes significatives tant dans l’élaboration de l’évaluation que dans sa prise en compte ?</w:t>
            </w:r>
            <w:r w:rsidR="00903E7C">
              <w:t xml:space="preserve"> Ce point relève davantage du référentiel interne de radioprotection de l’exploitant.</w:t>
            </w:r>
          </w:p>
        </w:tc>
      </w:tr>
      <w:tr w:rsidR="00434766" w14:paraId="3DB9EEF5" w14:textId="77777777" w:rsidTr="0080541B">
        <w:tc>
          <w:tcPr>
            <w:tcW w:w="4443" w:type="dxa"/>
          </w:tcPr>
          <w:p w14:paraId="033285AD" w14:textId="66E95604" w:rsidR="00434766" w:rsidRPr="00003C80" w:rsidRDefault="008751C0" w:rsidP="00434766">
            <w:pPr>
              <w:pStyle w:val="Corpsdetexte"/>
              <w:rPr>
                <w:b/>
                <w:bCs/>
              </w:rPr>
            </w:pPr>
            <w:r w:rsidRPr="00003C80">
              <w:rPr>
                <w:b/>
                <w:bCs/>
              </w:rPr>
              <w:t xml:space="preserve">Exemple d’ESR à déclarer avec le sous-critère 7.4 </w:t>
            </w:r>
            <w:r w:rsidR="00003C80">
              <w:rPr>
                <w:b/>
                <w:bCs/>
              </w:rPr>
              <w:t xml:space="preserve">– </w:t>
            </w:r>
            <w:r w:rsidR="00003C80" w:rsidRPr="00003C80">
              <w:t xml:space="preserve">p </w:t>
            </w:r>
            <w:r w:rsidR="00434766" w:rsidRPr="00003C80">
              <w:t>32</w:t>
            </w:r>
          </w:p>
        </w:tc>
        <w:tc>
          <w:tcPr>
            <w:tcW w:w="4448" w:type="dxa"/>
          </w:tcPr>
          <w:p w14:paraId="443EF140" w14:textId="2095C8F9" w:rsidR="00434766" w:rsidRDefault="00434766" w:rsidP="00434766">
            <w:pPr>
              <w:pStyle w:val="Corpsdetexte"/>
            </w:pPr>
            <w:r>
              <w:t>Remplacer le terme « seuil d’alarme » par « contrainte de dose » et supprimer la notion de dépassement de</w:t>
            </w:r>
            <w:r w:rsidR="00003C80">
              <w:t xml:space="preserve"> débit d’équivalent de dose</w:t>
            </w:r>
          </w:p>
        </w:tc>
      </w:tr>
      <w:tr w:rsidR="00591BF5" w14:paraId="1F7A015B" w14:textId="77777777" w:rsidTr="0080541B">
        <w:tc>
          <w:tcPr>
            <w:tcW w:w="4443" w:type="dxa"/>
          </w:tcPr>
          <w:p w14:paraId="274D3233" w14:textId="6E0D5E44" w:rsidR="00591BF5" w:rsidRPr="00003C80" w:rsidRDefault="00591BF5" w:rsidP="00591BF5">
            <w:pPr>
              <w:pStyle w:val="Corpsdetexte"/>
              <w:rPr>
                <w:b/>
                <w:bCs/>
              </w:rPr>
            </w:pPr>
            <w:r>
              <w:rPr>
                <w:b/>
                <w:bCs/>
              </w:rPr>
              <w:t>Critère 8 : Défaut de maîtrise de la propreté radiologique</w:t>
            </w:r>
          </w:p>
        </w:tc>
        <w:tc>
          <w:tcPr>
            <w:tcW w:w="4448" w:type="dxa"/>
          </w:tcPr>
          <w:p w14:paraId="578B8BAB" w14:textId="11E649B9" w:rsidR="00591BF5" w:rsidRDefault="00591BF5" w:rsidP="00591BF5">
            <w:pPr>
              <w:pStyle w:val="Corpsdetexte"/>
            </w:pPr>
            <w:r w:rsidRPr="007F525F">
              <w:t>Les situations couvertes par ce critère, compte tenu des seuils d’exposition visés vont bien au-delà d’un défaut de propreté radiologique. Le titre du critère n’est pas approprié</w:t>
            </w:r>
            <w:r>
              <w:rPr>
                <w:b/>
                <w:bCs/>
              </w:rPr>
              <w:t xml:space="preserve">. </w:t>
            </w:r>
          </w:p>
        </w:tc>
      </w:tr>
      <w:tr w:rsidR="00591BF5" w14:paraId="7E7FDD85" w14:textId="77777777" w:rsidTr="0080541B">
        <w:tc>
          <w:tcPr>
            <w:tcW w:w="4443" w:type="dxa"/>
          </w:tcPr>
          <w:p w14:paraId="2110FB28" w14:textId="2F418AA6" w:rsidR="00591BF5" w:rsidRPr="00003C80" w:rsidRDefault="00591BF5" w:rsidP="00591BF5">
            <w:pPr>
              <w:pStyle w:val="Corpsdetexte"/>
              <w:rPr>
                <w:b/>
                <w:bCs/>
              </w:rPr>
            </w:pPr>
            <w:r w:rsidRPr="00003C80">
              <w:rPr>
                <w:b/>
                <w:bCs/>
              </w:rPr>
              <w:t xml:space="preserve">Critère 9 – Gestion inappropriée des déchets ou effluents radioactifs (non applicable aux INB), p34 </w:t>
            </w:r>
          </w:p>
        </w:tc>
        <w:tc>
          <w:tcPr>
            <w:tcW w:w="4448" w:type="dxa"/>
          </w:tcPr>
          <w:p w14:paraId="237FF251" w14:textId="3B097B63" w:rsidR="00591BF5" w:rsidRDefault="00591BF5" w:rsidP="00591BF5">
            <w:pPr>
              <w:pStyle w:val="Corpsdetexte"/>
            </w:pPr>
            <w:r>
              <w:t xml:space="preserve">La précision apportée </w:t>
            </w:r>
            <w:r w:rsidRPr="00003C80">
              <w:rPr>
                <w:i/>
                <w:iCs/>
              </w:rPr>
              <w:t xml:space="preserve">« Ce critère ne concerne pas les INB. Dans les INB, le guide </w:t>
            </w:r>
            <w:r>
              <w:rPr>
                <w:i/>
                <w:iCs/>
              </w:rPr>
              <w:t xml:space="preserve">de </w:t>
            </w:r>
            <w:r w:rsidRPr="00003C80">
              <w:rPr>
                <w:i/>
                <w:iCs/>
              </w:rPr>
              <w:t xml:space="preserve">2005 s’applique </w:t>
            </w:r>
            <w:proofErr w:type="gramStart"/>
            <w:r w:rsidRPr="00003C80">
              <w:rPr>
                <w:i/>
                <w:iCs/>
              </w:rPr>
              <w:t>[….</w:t>
            </w:r>
            <w:proofErr w:type="gramEnd"/>
            <w:r w:rsidRPr="00003C80">
              <w:rPr>
                <w:i/>
                <w:iCs/>
              </w:rPr>
              <w:t>] (</w:t>
            </w:r>
            <w:proofErr w:type="gramStart"/>
            <w:r w:rsidRPr="00003C80">
              <w:rPr>
                <w:i/>
                <w:iCs/>
              </w:rPr>
              <w:t>voir</w:t>
            </w:r>
            <w:proofErr w:type="gramEnd"/>
            <w:r w:rsidRPr="00003C80">
              <w:rPr>
                <w:i/>
                <w:iCs/>
              </w:rPr>
              <w:t xml:space="preserve"> §1.4) »</w:t>
            </w:r>
            <w:r>
              <w:rPr>
                <w:i/>
                <w:iCs/>
              </w:rPr>
              <w:t xml:space="preserve"> </w:t>
            </w:r>
            <w:r w:rsidRPr="00C97124">
              <w:t>apporte une certaine confusion</w:t>
            </w:r>
            <w:r>
              <w:t xml:space="preserve">. En effet, </w:t>
            </w:r>
            <w:r w:rsidRPr="00C97124">
              <w:t>l’application du par</w:t>
            </w:r>
            <w:r>
              <w:t>a</w:t>
            </w:r>
            <w:r w:rsidRPr="00C97124">
              <w:t>graphe 1.4 du guide stip</w:t>
            </w:r>
            <w:r>
              <w:t>u</w:t>
            </w:r>
            <w:r w:rsidRPr="00C97124">
              <w:t>le qu’il abroge et remplace les dispositions du guide de 2005.</w:t>
            </w:r>
            <w:r>
              <w:rPr>
                <w:i/>
                <w:iCs/>
              </w:rPr>
              <w:t xml:space="preserve"> </w:t>
            </w:r>
            <w:r w:rsidRPr="00C97124">
              <w:t>Cette précision doit donc être supprimée.</w:t>
            </w:r>
            <w:r>
              <w:t xml:space="preserve"> </w:t>
            </w:r>
          </w:p>
        </w:tc>
      </w:tr>
    </w:tbl>
    <w:p w14:paraId="008AF0C5" w14:textId="77777777" w:rsidR="0005369A" w:rsidRPr="00835ED1" w:rsidRDefault="0005369A" w:rsidP="008857C1">
      <w:pPr>
        <w:pStyle w:val="Corpsdetexte"/>
        <w:rPr>
          <w:b/>
          <w:bCs/>
        </w:rPr>
      </w:pPr>
    </w:p>
    <w:sectPr w:rsidR="0005369A" w:rsidRPr="00835ED1" w:rsidSect="00166A8C">
      <w:pgSz w:w="11906" w:h="16838" w:code="9"/>
      <w:pgMar w:top="907" w:right="1474" w:bottom="1135" w:left="1531" w:header="425" w:footer="56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D4A69F" w14:textId="77777777" w:rsidR="00C717DD" w:rsidRDefault="00C717DD" w:rsidP="00636C4D">
      <w:r>
        <w:separator/>
      </w:r>
    </w:p>
  </w:endnote>
  <w:endnote w:type="continuationSeparator" w:id="0">
    <w:p w14:paraId="2B24DA91" w14:textId="77777777" w:rsidR="00C717DD" w:rsidRDefault="00C717DD" w:rsidP="00636C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imes New Roman Gras">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a Sans">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Arrial Narrow Bold">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ECE6B7" w14:textId="77777777" w:rsidR="00C717DD" w:rsidRDefault="00C717DD" w:rsidP="00636C4D">
      <w:r>
        <w:separator/>
      </w:r>
    </w:p>
  </w:footnote>
  <w:footnote w:type="continuationSeparator" w:id="0">
    <w:p w14:paraId="36917A9F" w14:textId="77777777" w:rsidR="00C717DD" w:rsidRDefault="00C717DD" w:rsidP="00636C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DF80C7F8"/>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0908D610"/>
    <w:lvl w:ilvl="0">
      <w:start w:val="1"/>
      <w:numFmt w:val="lowerLetter"/>
      <w:pStyle w:val="Listenumros2"/>
      <w:lvlText w:val="%1)"/>
      <w:lvlJc w:val="left"/>
      <w:pPr>
        <w:ind w:left="717" w:hanging="360"/>
      </w:pPr>
      <w:rPr>
        <w:rFonts w:hint="default"/>
      </w:rPr>
    </w:lvl>
  </w:abstractNum>
  <w:abstractNum w:abstractNumId="2" w15:restartNumberingAfterBreak="0">
    <w:nsid w:val="FFFFFF82"/>
    <w:multiLevelType w:val="singleLevel"/>
    <w:tmpl w:val="C8E8FA3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6418882A"/>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8"/>
    <w:multiLevelType w:val="singleLevel"/>
    <w:tmpl w:val="D1AAFB0C"/>
    <w:lvl w:ilvl="0">
      <w:start w:val="1"/>
      <w:numFmt w:val="decimal"/>
      <w:lvlText w:val="%1."/>
      <w:lvlJc w:val="left"/>
      <w:pPr>
        <w:tabs>
          <w:tab w:val="num" w:pos="360"/>
        </w:tabs>
        <w:ind w:left="360" w:hanging="360"/>
      </w:pPr>
    </w:lvl>
  </w:abstractNum>
  <w:abstractNum w:abstractNumId="5" w15:restartNumberingAfterBreak="0">
    <w:nsid w:val="FFFFFF89"/>
    <w:multiLevelType w:val="singleLevel"/>
    <w:tmpl w:val="90FE0E32"/>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9467F9E"/>
    <w:multiLevelType w:val="hybridMultilevel"/>
    <w:tmpl w:val="CA7C76CA"/>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 w15:restartNumberingAfterBreak="0">
    <w:nsid w:val="0CAF4822"/>
    <w:multiLevelType w:val="hybridMultilevel"/>
    <w:tmpl w:val="1660A44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00719B3"/>
    <w:multiLevelType w:val="hybridMultilevel"/>
    <w:tmpl w:val="519C2092"/>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15:restartNumberingAfterBreak="0">
    <w:nsid w:val="1B4C631E"/>
    <w:multiLevelType w:val="hybridMultilevel"/>
    <w:tmpl w:val="2F460EC8"/>
    <w:lvl w:ilvl="0" w:tplc="384C4EF2">
      <w:numFmt w:val="bullet"/>
      <w:lvlText w:val="-"/>
      <w:lvlJc w:val="left"/>
      <w:pPr>
        <w:ind w:left="720" w:hanging="360"/>
      </w:pPr>
      <w:rPr>
        <w:rFonts w:ascii="Lucida Sans" w:eastAsia="Times New Roman" w:hAnsi="Lucida San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17A792F"/>
    <w:multiLevelType w:val="hybridMultilevel"/>
    <w:tmpl w:val="207C8B94"/>
    <w:lvl w:ilvl="0" w:tplc="3824503C">
      <w:start w:val="1"/>
      <w:numFmt w:val="decimal"/>
      <w:pStyle w:val="Annexe"/>
      <w:lvlText w:val="Annexe %1 :  "/>
      <w:lvlJc w:val="left"/>
      <w:pPr>
        <w:ind w:left="360" w:hanging="360"/>
      </w:pPr>
      <w:rPr>
        <w:rFonts w:ascii="Times New Roman Gras" w:hAnsi="Times New Roman Gras" w:hint="default"/>
        <w:b/>
        <w:i w:val="0"/>
        <w:color w:val="auto"/>
        <w:sz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21C00CA5"/>
    <w:multiLevelType w:val="hybridMultilevel"/>
    <w:tmpl w:val="66FE854C"/>
    <w:lvl w:ilvl="0" w:tplc="ED3A6280">
      <w:start w:val="1"/>
      <w:numFmt w:val="bullet"/>
      <w:pStyle w:val="Listepuces3"/>
      <w:lvlText w:val="-"/>
      <w:lvlJc w:val="left"/>
      <w:pPr>
        <w:ind w:left="1074" w:hanging="360"/>
      </w:pPr>
      <w:rPr>
        <w:rFonts w:ascii="Times New Roman" w:hAnsi="Times New Roman" w:cs="Times New Roman" w:hint="default"/>
        <w:b w:val="0"/>
        <w:i w:val="0"/>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2706A18"/>
    <w:multiLevelType w:val="hybridMultilevel"/>
    <w:tmpl w:val="8A80B1C2"/>
    <w:lvl w:ilvl="0" w:tplc="D6CE3DA0">
      <w:start w:val="1"/>
      <w:numFmt w:val="lowerRoman"/>
      <w:pStyle w:val="Listenumros3"/>
      <w:lvlText w:val="%1."/>
      <w:lvlJc w:val="left"/>
      <w:pPr>
        <w:ind w:left="1074"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33934A0F"/>
    <w:multiLevelType w:val="hybridMultilevel"/>
    <w:tmpl w:val="E95AD686"/>
    <w:lvl w:ilvl="0" w:tplc="AF2A8B34">
      <w:start w:val="1"/>
      <w:numFmt w:val="bullet"/>
      <w:pStyle w:val="Listepuces2"/>
      <w:lvlText w:val=""/>
      <w:lvlJc w:val="left"/>
      <w:pPr>
        <w:ind w:left="717" w:hanging="360"/>
      </w:pPr>
      <w:rPr>
        <w:rFonts w:ascii="Wingdings" w:hAnsi="Wingdings" w:hint="default"/>
        <w:b w:val="0"/>
        <w:i w:val="0"/>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42827C0"/>
    <w:multiLevelType w:val="hybridMultilevel"/>
    <w:tmpl w:val="20BACC16"/>
    <w:lvl w:ilvl="0" w:tplc="7688ACC8">
      <w:start w:val="1"/>
      <w:numFmt w:val="bullet"/>
      <w:pStyle w:val="Titre6"/>
      <w:lvlText w:val=""/>
      <w:lvlJc w:val="left"/>
      <w:pPr>
        <w:ind w:left="360" w:hanging="360"/>
      </w:pPr>
      <w:rPr>
        <w:rFonts w:ascii="Wingdings" w:hAnsi="Wingdings" w:hint="default"/>
        <w:b/>
        <w:i/>
        <w:sz w:val="18"/>
      </w:rPr>
    </w:lvl>
    <w:lvl w:ilvl="1" w:tplc="040C0003" w:tentative="1">
      <w:start w:val="1"/>
      <w:numFmt w:val="bullet"/>
      <w:lvlText w:val="o"/>
      <w:lvlJc w:val="left"/>
      <w:pPr>
        <w:ind w:left="2574" w:hanging="360"/>
      </w:pPr>
      <w:rPr>
        <w:rFonts w:ascii="Courier New" w:hAnsi="Courier New" w:cs="Courier New" w:hint="default"/>
      </w:rPr>
    </w:lvl>
    <w:lvl w:ilvl="2" w:tplc="040C0005" w:tentative="1">
      <w:start w:val="1"/>
      <w:numFmt w:val="bullet"/>
      <w:lvlText w:val=""/>
      <w:lvlJc w:val="left"/>
      <w:pPr>
        <w:ind w:left="3294" w:hanging="360"/>
      </w:pPr>
      <w:rPr>
        <w:rFonts w:ascii="Wingdings" w:hAnsi="Wingdings" w:hint="default"/>
      </w:rPr>
    </w:lvl>
    <w:lvl w:ilvl="3" w:tplc="040C0001" w:tentative="1">
      <w:start w:val="1"/>
      <w:numFmt w:val="bullet"/>
      <w:lvlText w:val=""/>
      <w:lvlJc w:val="left"/>
      <w:pPr>
        <w:ind w:left="4014" w:hanging="360"/>
      </w:pPr>
      <w:rPr>
        <w:rFonts w:ascii="Symbol" w:hAnsi="Symbol" w:hint="default"/>
      </w:rPr>
    </w:lvl>
    <w:lvl w:ilvl="4" w:tplc="040C0003" w:tentative="1">
      <w:start w:val="1"/>
      <w:numFmt w:val="bullet"/>
      <w:lvlText w:val="o"/>
      <w:lvlJc w:val="left"/>
      <w:pPr>
        <w:ind w:left="4734" w:hanging="360"/>
      </w:pPr>
      <w:rPr>
        <w:rFonts w:ascii="Courier New" w:hAnsi="Courier New" w:cs="Courier New" w:hint="default"/>
      </w:rPr>
    </w:lvl>
    <w:lvl w:ilvl="5" w:tplc="040C0005" w:tentative="1">
      <w:start w:val="1"/>
      <w:numFmt w:val="bullet"/>
      <w:lvlText w:val=""/>
      <w:lvlJc w:val="left"/>
      <w:pPr>
        <w:ind w:left="5454" w:hanging="360"/>
      </w:pPr>
      <w:rPr>
        <w:rFonts w:ascii="Wingdings" w:hAnsi="Wingdings" w:hint="default"/>
      </w:rPr>
    </w:lvl>
    <w:lvl w:ilvl="6" w:tplc="040C0001" w:tentative="1">
      <w:start w:val="1"/>
      <w:numFmt w:val="bullet"/>
      <w:lvlText w:val=""/>
      <w:lvlJc w:val="left"/>
      <w:pPr>
        <w:ind w:left="6174" w:hanging="360"/>
      </w:pPr>
      <w:rPr>
        <w:rFonts w:ascii="Symbol" w:hAnsi="Symbol" w:hint="default"/>
      </w:rPr>
    </w:lvl>
    <w:lvl w:ilvl="7" w:tplc="040C0003" w:tentative="1">
      <w:start w:val="1"/>
      <w:numFmt w:val="bullet"/>
      <w:lvlText w:val="o"/>
      <w:lvlJc w:val="left"/>
      <w:pPr>
        <w:ind w:left="6894" w:hanging="360"/>
      </w:pPr>
      <w:rPr>
        <w:rFonts w:ascii="Courier New" w:hAnsi="Courier New" w:cs="Courier New" w:hint="default"/>
      </w:rPr>
    </w:lvl>
    <w:lvl w:ilvl="8" w:tplc="040C0005" w:tentative="1">
      <w:start w:val="1"/>
      <w:numFmt w:val="bullet"/>
      <w:lvlText w:val=""/>
      <w:lvlJc w:val="left"/>
      <w:pPr>
        <w:ind w:left="7614" w:hanging="360"/>
      </w:pPr>
      <w:rPr>
        <w:rFonts w:ascii="Wingdings" w:hAnsi="Wingdings" w:hint="default"/>
      </w:rPr>
    </w:lvl>
  </w:abstractNum>
  <w:abstractNum w:abstractNumId="15" w15:restartNumberingAfterBreak="0">
    <w:nsid w:val="35CB7BAB"/>
    <w:multiLevelType w:val="hybridMultilevel"/>
    <w:tmpl w:val="9D1CB01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8ED224E"/>
    <w:multiLevelType w:val="hybridMultilevel"/>
    <w:tmpl w:val="C8A4AE60"/>
    <w:lvl w:ilvl="0" w:tplc="DC901BE0">
      <w:start w:val="16"/>
      <w:numFmt w:val="bullet"/>
      <w:lvlText w:val="-"/>
      <w:lvlJc w:val="left"/>
      <w:pPr>
        <w:ind w:left="720" w:hanging="360"/>
      </w:pPr>
      <w:rPr>
        <w:rFonts w:ascii="Lucida Sans" w:eastAsia="Calibri" w:hAnsi="Lucida Sans"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7" w15:restartNumberingAfterBreak="0">
    <w:nsid w:val="3CDF74C9"/>
    <w:multiLevelType w:val="multilevel"/>
    <w:tmpl w:val="B04E54D2"/>
    <w:lvl w:ilvl="0">
      <w:start w:val="1"/>
      <w:numFmt w:val="decimal"/>
      <w:pStyle w:val="Titre1"/>
      <w:lvlText w:val="%1."/>
      <w:lvlJc w:val="left"/>
      <w:pPr>
        <w:tabs>
          <w:tab w:val="num" w:pos="1134"/>
        </w:tabs>
        <w:ind w:left="1134" w:hanging="1134"/>
      </w:pPr>
      <w:rPr>
        <w:rFonts w:ascii="Lucida Sans" w:hAnsi="Lucida Sans" w:cs="Lucida Sans Unicode" w:hint="default"/>
        <w:b/>
        <w:i w:val="0"/>
        <w:color w:val="auto"/>
        <w:sz w:val="28"/>
        <w:szCs w:val="28"/>
      </w:rPr>
    </w:lvl>
    <w:lvl w:ilvl="1">
      <w:start w:val="1"/>
      <w:numFmt w:val="decimal"/>
      <w:pStyle w:val="Titre2"/>
      <w:lvlText w:val="%1.%2"/>
      <w:lvlJc w:val="left"/>
      <w:pPr>
        <w:tabs>
          <w:tab w:val="num" w:pos="1134"/>
        </w:tabs>
        <w:ind w:left="1134" w:hanging="1134"/>
      </w:pPr>
      <w:rPr>
        <w:rFonts w:ascii="Lucida Sans Unicode" w:hAnsi="Lucida Sans Unicode" w:hint="default"/>
        <w:b/>
        <w:i w:val="0"/>
        <w:sz w:val="22"/>
      </w:rPr>
    </w:lvl>
    <w:lvl w:ilvl="2">
      <w:start w:val="1"/>
      <w:numFmt w:val="decimal"/>
      <w:pStyle w:val="Titre3"/>
      <w:lvlText w:val="%1.%2.%3"/>
      <w:lvlJc w:val="left"/>
      <w:pPr>
        <w:tabs>
          <w:tab w:val="num" w:pos="1134"/>
        </w:tabs>
        <w:ind w:left="1134" w:hanging="1134"/>
      </w:pPr>
      <w:rPr>
        <w:rFonts w:ascii="Lucida Sans Unicode" w:hAnsi="Lucida Sans Unicode" w:hint="default"/>
        <w:b/>
        <w:i w:val="0"/>
        <w:sz w:val="18"/>
      </w:rPr>
    </w:lvl>
    <w:lvl w:ilvl="3">
      <w:start w:val="1"/>
      <w:numFmt w:val="decimal"/>
      <w:pStyle w:val="Titre4"/>
      <w:lvlText w:val="%1.%2.%3.%4"/>
      <w:lvlJc w:val="left"/>
      <w:pPr>
        <w:tabs>
          <w:tab w:val="num" w:pos="1134"/>
        </w:tabs>
        <w:ind w:left="1134" w:hanging="1134"/>
      </w:pPr>
      <w:rPr>
        <w:rFonts w:ascii="Lucida Sans Unicode" w:hAnsi="Lucida Sans Unicode" w:hint="default"/>
        <w:b w:val="0"/>
        <w:i w:val="0"/>
        <w:sz w:val="18"/>
      </w:rPr>
    </w:lvl>
    <w:lvl w:ilvl="4">
      <w:start w:val="1"/>
      <w:numFmt w:val="none"/>
      <w:lvlText w:val=""/>
      <w:lvlJc w:val="left"/>
      <w:pPr>
        <w:tabs>
          <w:tab w:val="num" w:pos="1008"/>
        </w:tabs>
        <w:ind w:left="1008" w:hanging="1008"/>
      </w:pPr>
      <w:rPr>
        <w:rFonts w:hint="default"/>
      </w:rPr>
    </w:lvl>
    <w:lvl w:ilvl="5">
      <w:start w:val="1"/>
      <w:numFmt w:val="bullet"/>
      <w:lvlText w:val=""/>
      <w:lvlJc w:val="left"/>
      <w:pPr>
        <w:tabs>
          <w:tab w:val="num" w:pos="1134"/>
        </w:tabs>
        <w:ind w:left="1134" w:hanging="1134"/>
      </w:pPr>
      <w:rPr>
        <w:rFonts w:ascii="Wingdings" w:hAnsi="Wingdings" w:hint="default"/>
        <w:b/>
        <w:i/>
        <w:sz w:val="18"/>
      </w:rPr>
    </w:lvl>
    <w:lvl w:ilvl="6">
      <w:start w:val="1"/>
      <w:numFmt w:val="decimal"/>
      <w:pStyle w:val="Titre7"/>
      <w:lvlText w:val="%1.%2.%3.%4.%5.%6.%7"/>
      <w:lvlJc w:val="left"/>
      <w:pPr>
        <w:tabs>
          <w:tab w:val="num" w:pos="1296"/>
        </w:tabs>
        <w:ind w:left="1296" w:hanging="1296"/>
      </w:pPr>
      <w:rPr>
        <w:rFonts w:hint="default"/>
      </w:rPr>
    </w:lvl>
    <w:lvl w:ilvl="7">
      <w:start w:val="1"/>
      <w:numFmt w:val="decimal"/>
      <w:pStyle w:val="Titre8"/>
      <w:lvlText w:val="%1.%2.%3.%4.%5.%6.%7.%8"/>
      <w:lvlJc w:val="left"/>
      <w:pPr>
        <w:tabs>
          <w:tab w:val="num" w:pos="1440"/>
        </w:tabs>
        <w:ind w:left="1440" w:hanging="1440"/>
      </w:pPr>
      <w:rPr>
        <w:rFonts w:hint="default"/>
      </w:rPr>
    </w:lvl>
    <w:lvl w:ilvl="8">
      <w:start w:val="1"/>
      <w:numFmt w:val="decimal"/>
      <w:pStyle w:val="Titre9"/>
      <w:lvlText w:val="%1.%2.%3.%4.%5.%6.%7.%8.%9"/>
      <w:lvlJc w:val="left"/>
      <w:pPr>
        <w:tabs>
          <w:tab w:val="num" w:pos="1584"/>
        </w:tabs>
        <w:ind w:left="1584" w:hanging="1584"/>
      </w:pPr>
      <w:rPr>
        <w:rFonts w:hint="default"/>
      </w:rPr>
    </w:lvl>
  </w:abstractNum>
  <w:abstractNum w:abstractNumId="18" w15:restartNumberingAfterBreak="0">
    <w:nsid w:val="43EA3BB0"/>
    <w:multiLevelType w:val="hybridMultilevel"/>
    <w:tmpl w:val="018001A2"/>
    <w:lvl w:ilvl="0" w:tplc="040C0005">
      <w:start w:val="1"/>
      <w:numFmt w:val="bullet"/>
      <w:lvlText w:val=""/>
      <w:lvlJc w:val="left"/>
      <w:pPr>
        <w:ind w:left="417" w:hanging="360"/>
      </w:pPr>
      <w:rPr>
        <w:rFonts w:ascii="Wingdings" w:hAnsi="Wingdings" w:hint="default"/>
      </w:rPr>
    </w:lvl>
    <w:lvl w:ilvl="1" w:tplc="040C0003" w:tentative="1">
      <w:start w:val="1"/>
      <w:numFmt w:val="bullet"/>
      <w:lvlText w:val="o"/>
      <w:lvlJc w:val="left"/>
      <w:pPr>
        <w:ind w:left="1137" w:hanging="360"/>
      </w:pPr>
      <w:rPr>
        <w:rFonts w:ascii="Courier New" w:hAnsi="Courier New" w:cs="Courier New" w:hint="default"/>
      </w:rPr>
    </w:lvl>
    <w:lvl w:ilvl="2" w:tplc="040C0005" w:tentative="1">
      <w:start w:val="1"/>
      <w:numFmt w:val="bullet"/>
      <w:lvlText w:val=""/>
      <w:lvlJc w:val="left"/>
      <w:pPr>
        <w:ind w:left="1857" w:hanging="360"/>
      </w:pPr>
      <w:rPr>
        <w:rFonts w:ascii="Wingdings" w:hAnsi="Wingdings" w:hint="default"/>
      </w:rPr>
    </w:lvl>
    <w:lvl w:ilvl="3" w:tplc="040C0001" w:tentative="1">
      <w:start w:val="1"/>
      <w:numFmt w:val="bullet"/>
      <w:lvlText w:val=""/>
      <w:lvlJc w:val="left"/>
      <w:pPr>
        <w:ind w:left="2577" w:hanging="360"/>
      </w:pPr>
      <w:rPr>
        <w:rFonts w:ascii="Symbol" w:hAnsi="Symbol" w:hint="default"/>
      </w:rPr>
    </w:lvl>
    <w:lvl w:ilvl="4" w:tplc="040C0003" w:tentative="1">
      <w:start w:val="1"/>
      <w:numFmt w:val="bullet"/>
      <w:lvlText w:val="o"/>
      <w:lvlJc w:val="left"/>
      <w:pPr>
        <w:ind w:left="3297" w:hanging="360"/>
      </w:pPr>
      <w:rPr>
        <w:rFonts w:ascii="Courier New" w:hAnsi="Courier New" w:cs="Courier New" w:hint="default"/>
      </w:rPr>
    </w:lvl>
    <w:lvl w:ilvl="5" w:tplc="040C0005" w:tentative="1">
      <w:start w:val="1"/>
      <w:numFmt w:val="bullet"/>
      <w:lvlText w:val=""/>
      <w:lvlJc w:val="left"/>
      <w:pPr>
        <w:ind w:left="4017" w:hanging="360"/>
      </w:pPr>
      <w:rPr>
        <w:rFonts w:ascii="Wingdings" w:hAnsi="Wingdings" w:hint="default"/>
      </w:rPr>
    </w:lvl>
    <w:lvl w:ilvl="6" w:tplc="040C0001" w:tentative="1">
      <w:start w:val="1"/>
      <w:numFmt w:val="bullet"/>
      <w:lvlText w:val=""/>
      <w:lvlJc w:val="left"/>
      <w:pPr>
        <w:ind w:left="4737" w:hanging="360"/>
      </w:pPr>
      <w:rPr>
        <w:rFonts w:ascii="Symbol" w:hAnsi="Symbol" w:hint="default"/>
      </w:rPr>
    </w:lvl>
    <w:lvl w:ilvl="7" w:tplc="040C0003" w:tentative="1">
      <w:start w:val="1"/>
      <w:numFmt w:val="bullet"/>
      <w:lvlText w:val="o"/>
      <w:lvlJc w:val="left"/>
      <w:pPr>
        <w:ind w:left="5457" w:hanging="360"/>
      </w:pPr>
      <w:rPr>
        <w:rFonts w:ascii="Courier New" w:hAnsi="Courier New" w:cs="Courier New" w:hint="default"/>
      </w:rPr>
    </w:lvl>
    <w:lvl w:ilvl="8" w:tplc="040C0005" w:tentative="1">
      <w:start w:val="1"/>
      <w:numFmt w:val="bullet"/>
      <w:lvlText w:val=""/>
      <w:lvlJc w:val="left"/>
      <w:pPr>
        <w:ind w:left="6177" w:hanging="360"/>
      </w:pPr>
      <w:rPr>
        <w:rFonts w:ascii="Wingdings" w:hAnsi="Wingdings" w:hint="default"/>
      </w:rPr>
    </w:lvl>
  </w:abstractNum>
  <w:abstractNum w:abstractNumId="19" w15:restartNumberingAfterBreak="0">
    <w:nsid w:val="575A52D3"/>
    <w:multiLevelType w:val="hybridMultilevel"/>
    <w:tmpl w:val="341A137A"/>
    <w:lvl w:ilvl="0" w:tplc="AB8478BC">
      <w:numFmt w:val="bullet"/>
      <w:lvlText w:val="-"/>
      <w:lvlJc w:val="left"/>
      <w:pPr>
        <w:ind w:left="720" w:hanging="360"/>
      </w:pPr>
      <w:rPr>
        <w:rFonts w:ascii="Lucida Sans" w:eastAsiaTheme="minorHAnsi" w:hAnsi="Lucida San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77D30A7"/>
    <w:multiLevelType w:val="multilevel"/>
    <w:tmpl w:val="B01EDB76"/>
    <w:lvl w:ilvl="0">
      <w:start w:val="1"/>
      <w:numFmt w:val="decimal"/>
      <w:pStyle w:val="Listenumros"/>
      <w:lvlText w:val="%1."/>
      <w:lvlJc w:val="left"/>
      <w:pPr>
        <w:ind w:left="360" w:hanging="360"/>
      </w:pPr>
      <w:rPr>
        <w:rFonts w:hint="default"/>
        <w:color w:val="auto"/>
      </w:rPr>
    </w:lvl>
    <w:lvl w:ilvl="1">
      <w:start w:val="1"/>
      <w:numFmt w:val="lowerLetter"/>
      <w:lvlText w:val="%2."/>
      <w:lvlJc w:val="left"/>
      <w:pPr>
        <w:tabs>
          <w:tab w:val="num" w:pos="357"/>
        </w:tabs>
        <w:ind w:left="35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5C382BA2"/>
    <w:multiLevelType w:val="hybridMultilevel"/>
    <w:tmpl w:val="9B9A03E6"/>
    <w:lvl w:ilvl="0" w:tplc="A2808F86">
      <w:start w:val="1"/>
      <w:numFmt w:val="decimal"/>
      <w:pStyle w:val="Chapitre"/>
      <w:lvlText w:val="%1"/>
      <w:lvlJc w:val="left"/>
      <w:pPr>
        <w:ind w:left="2628" w:hanging="360"/>
      </w:pPr>
      <w:rPr>
        <w:rFonts w:ascii="Lucida Sans" w:hAnsi="Lucida Sans" w:hint="default"/>
        <w:b w:val="0"/>
        <w:i w:val="0"/>
        <w:color w:val="auto"/>
        <w:spacing w:val="-20"/>
        <w:w w:val="100"/>
        <w:kern w:val="0"/>
        <w:position w:val="-30"/>
        <w:sz w:val="456"/>
        <w:szCs w:val="456"/>
      </w:rPr>
    </w:lvl>
    <w:lvl w:ilvl="1" w:tplc="040C0019" w:tentative="1">
      <w:start w:val="1"/>
      <w:numFmt w:val="lowerLetter"/>
      <w:lvlText w:val="%2."/>
      <w:lvlJc w:val="left"/>
      <w:pPr>
        <w:ind w:left="9586" w:hanging="360"/>
      </w:pPr>
    </w:lvl>
    <w:lvl w:ilvl="2" w:tplc="040C001B" w:tentative="1">
      <w:start w:val="1"/>
      <w:numFmt w:val="lowerRoman"/>
      <w:lvlText w:val="%3."/>
      <w:lvlJc w:val="right"/>
      <w:pPr>
        <w:ind w:left="10306" w:hanging="180"/>
      </w:pPr>
    </w:lvl>
    <w:lvl w:ilvl="3" w:tplc="040C000F" w:tentative="1">
      <w:start w:val="1"/>
      <w:numFmt w:val="decimal"/>
      <w:lvlText w:val="%4."/>
      <w:lvlJc w:val="left"/>
      <w:pPr>
        <w:ind w:left="11026" w:hanging="360"/>
      </w:pPr>
    </w:lvl>
    <w:lvl w:ilvl="4" w:tplc="040C0019" w:tentative="1">
      <w:start w:val="1"/>
      <w:numFmt w:val="lowerLetter"/>
      <w:lvlText w:val="%5."/>
      <w:lvlJc w:val="left"/>
      <w:pPr>
        <w:ind w:left="11746" w:hanging="360"/>
      </w:pPr>
    </w:lvl>
    <w:lvl w:ilvl="5" w:tplc="040C001B" w:tentative="1">
      <w:start w:val="1"/>
      <w:numFmt w:val="lowerRoman"/>
      <w:lvlText w:val="%6."/>
      <w:lvlJc w:val="right"/>
      <w:pPr>
        <w:ind w:left="12466" w:hanging="180"/>
      </w:pPr>
    </w:lvl>
    <w:lvl w:ilvl="6" w:tplc="040C000F" w:tentative="1">
      <w:start w:val="1"/>
      <w:numFmt w:val="decimal"/>
      <w:lvlText w:val="%7."/>
      <w:lvlJc w:val="left"/>
      <w:pPr>
        <w:ind w:left="13186" w:hanging="360"/>
      </w:pPr>
    </w:lvl>
    <w:lvl w:ilvl="7" w:tplc="040C0019" w:tentative="1">
      <w:start w:val="1"/>
      <w:numFmt w:val="lowerLetter"/>
      <w:lvlText w:val="%8."/>
      <w:lvlJc w:val="left"/>
      <w:pPr>
        <w:ind w:left="13906" w:hanging="360"/>
      </w:pPr>
    </w:lvl>
    <w:lvl w:ilvl="8" w:tplc="040C001B" w:tentative="1">
      <w:start w:val="1"/>
      <w:numFmt w:val="lowerRoman"/>
      <w:lvlText w:val="%9."/>
      <w:lvlJc w:val="right"/>
      <w:pPr>
        <w:ind w:left="14626" w:hanging="180"/>
      </w:pPr>
    </w:lvl>
  </w:abstractNum>
  <w:abstractNum w:abstractNumId="22" w15:restartNumberingAfterBreak="0">
    <w:nsid w:val="6AEC251F"/>
    <w:multiLevelType w:val="hybridMultilevel"/>
    <w:tmpl w:val="28F81870"/>
    <w:lvl w:ilvl="0" w:tplc="D378347E">
      <w:start w:val="1"/>
      <w:numFmt w:val="bullet"/>
      <w:lvlText w:val="-"/>
      <w:lvlJc w:val="left"/>
      <w:pPr>
        <w:ind w:left="928" w:hanging="360"/>
      </w:pPr>
      <w:rPr>
        <w:rFonts w:ascii="Lucida Sans" w:hAnsi="Lucida Sans" w:hint="default"/>
      </w:rPr>
    </w:lvl>
    <w:lvl w:ilvl="1" w:tplc="040C0003" w:tentative="1">
      <w:start w:val="1"/>
      <w:numFmt w:val="bullet"/>
      <w:lvlText w:val="o"/>
      <w:lvlJc w:val="left"/>
      <w:pPr>
        <w:ind w:left="1648" w:hanging="360"/>
      </w:pPr>
      <w:rPr>
        <w:rFonts w:ascii="Courier New" w:hAnsi="Courier New" w:cs="Courier New" w:hint="default"/>
      </w:rPr>
    </w:lvl>
    <w:lvl w:ilvl="2" w:tplc="040C0005" w:tentative="1">
      <w:start w:val="1"/>
      <w:numFmt w:val="bullet"/>
      <w:lvlText w:val=""/>
      <w:lvlJc w:val="left"/>
      <w:pPr>
        <w:ind w:left="2368" w:hanging="360"/>
      </w:pPr>
      <w:rPr>
        <w:rFonts w:ascii="Wingdings" w:hAnsi="Wingdings" w:hint="default"/>
      </w:rPr>
    </w:lvl>
    <w:lvl w:ilvl="3" w:tplc="040C0001" w:tentative="1">
      <w:start w:val="1"/>
      <w:numFmt w:val="bullet"/>
      <w:lvlText w:val=""/>
      <w:lvlJc w:val="left"/>
      <w:pPr>
        <w:ind w:left="3088" w:hanging="360"/>
      </w:pPr>
      <w:rPr>
        <w:rFonts w:ascii="Symbol" w:hAnsi="Symbol" w:hint="default"/>
      </w:rPr>
    </w:lvl>
    <w:lvl w:ilvl="4" w:tplc="040C0003" w:tentative="1">
      <w:start w:val="1"/>
      <w:numFmt w:val="bullet"/>
      <w:lvlText w:val="o"/>
      <w:lvlJc w:val="left"/>
      <w:pPr>
        <w:ind w:left="3808" w:hanging="360"/>
      </w:pPr>
      <w:rPr>
        <w:rFonts w:ascii="Courier New" w:hAnsi="Courier New" w:cs="Courier New" w:hint="default"/>
      </w:rPr>
    </w:lvl>
    <w:lvl w:ilvl="5" w:tplc="040C0005" w:tentative="1">
      <w:start w:val="1"/>
      <w:numFmt w:val="bullet"/>
      <w:lvlText w:val=""/>
      <w:lvlJc w:val="left"/>
      <w:pPr>
        <w:ind w:left="4528" w:hanging="360"/>
      </w:pPr>
      <w:rPr>
        <w:rFonts w:ascii="Wingdings" w:hAnsi="Wingdings" w:hint="default"/>
      </w:rPr>
    </w:lvl>
    <w:lvl w:ilvl="6" w:tplc="040C0001" w:tentative="1">
      <w:start w:val="1"/>
      <w:numFmt w:val="bullet"/>
      <w:lvlText w:val=""/>
      <w:lvlJc w:val="left"/>
      <w:pPr>
        <w:ind w:left="5248" w:hanging="360"/>
      </w:pPr>
      <w:rPr>
        <w:rFonts w:ascii="Symbol" w:hAnsi="Symbol" w:hint="default"/>
      </w:rPr>
    </w:lvl>
    <w:lvl w:ilvl="7" w:tplc="040C0003" w:tentative="1">
      <w:start w:val="1"/>
      <w:numFmt w:val="bullet"/>
      <w:lvlText w:val="o"/>
      <w:lvlJc w:val="left"/>
      <w:pPr>
        <w:ind w:left="5968" w:hanging="360"/>
      </w:pPr>
      <w:rPr>
        <w:rFonts w:ascii="Courier New" w:hAnsi="Courier New" w:cs="Courier New" w:hint="default"/>
      </w:rPr>
    </w:lvl>
    <w:lvl w:ilvl="8" w:tplc="040C0005" w:tentative="1">
      <w:start w:val="1"/>
      <w:numFmt w:val="bullet"/>
      <w:lvlText w:val=""/>
      <w:lvlJc w:val="left"/>
      <w:pPr>
        <w:ind w:left="6688" w:hanging="360"/>
      </w:pPr>
      <w:rPr>
        <w:rFonts w:ascii="Wingdings" w:hAnsi="Wingdings" w:hint="default"/>
      </w:rPr>
    </w:lvl>
  </w:abstractNum>
  <w:abstractNum w:abstractNumId="23" w15:restartNumberingAfterBreak="0">
    <w:nsid w:val="74CF7960"/>
    <w:multiLevelType w:val="hybridMultilevel"/>
    <w:tmpl w:val="CAEE88E4"/>
    <w:lvl w:ilvl="0" w:tplc="66F2C75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7B7D4B4B"/>
    <w:multiLevelType w:val="multilevel"/>
    <w:tmpl w:val="BCCC87AC"/>
    <w:styleLink w:val="Style1"/>
    <w:lvl w:ilvl="0">
      <w:start w:val="1"/>
      <w:numFmt w:val="decimal"/>
      <w:lvlText w:val="%1."/>
      <w:lvlJc w:val="left"/>
      <w:pPr>
        <w:tabs>
          <w:tab w:val="num" w:pos="1134"/>
        </w:tabs>
        <w:ind w:left="1134" w:hanging="1134"/>
      </w:pPr>
      <w:rPr>
        <w:rFonts w:ascii="Times New Roman" w:hAnsi="Times New Roman" w:hint="default"/>
        <w:b w:val="0"/>
        <w:i w:val="0"/>
        <w:color w:val="auto"/>
        <w:sz w:val="36"/>
        <w:szCs w:val="36"/>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7E1A6EC0"/>
    <w:multiLevelType w:val="hybridMultilevel"/>
    <w:tmpl w:val="F378FDE4"/>
    <w:lvl w:ilvl="0" w:tplc="69FAF98C">
      <w:start w:val="1"/>
      <w:numFmt w:val="bullet"/>
      <w:pStyle w:val="Listepuces"/>
      <w:lvlText w:val=""/>
      <w:lvlJc w:val="left"/>
      <w:pPr>
        <w:ind w:left="360" w:hanging="360"/>
      </w:pPr>
      <w:rPr>
        <w:rFonts w:ascii="Symbol" w:hAnsi="Symbol" w:hint="default"/>
        <w:b w:val="0"/>
        <w:i w:val="0"/>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770707760">
    <w:abstractNumId w:val="22"/>
  </w:num>
  <w:num w:numId="2" w16cid:durableId="97911573">
    <w:abstractNumId w:val="19"/>
  </w:num>
  <w:num w:numId="3" w16cid:durableId="1074351452">
    <w:abstractNumId w:val="4"/>
  </w:num>
  <w:num w:numId="4" w16cid:durableId="455221912">
    <w:abstractNumId w:val="20"/>
  </w:num>
  <w:num w:numId="5" w16cid:durableId="1161040332">
    <w:abstractNumId w:val="10"/>
  </w:num>
  <w:num w:numId="6" w16cid:durableId="12269803">
    <w:abstractNumId w:val="21"/>
  </w:num>
  <w:num w:numId="7" w16cid:durableId="893084225">
    <w:abstractNumId w:val="17"/>
  </w:num>
  <w:num w:numId="8" w16cid:durableId="1285694918">
    <w:abstractNumId w:val="1"/>
  </w:num>
  <w:num w:numId="9" w16cid:durableId="486479839">
    <w:abstractNumId w:val="1"/>
  </w:num>
  <w:num w:numId="10" w16cid:durableId="177551174">
    <w:abstractNumId w:val="0"/>
  </w:num>
  <w:num w:numId="11" w16cid:durableId="2123915281">
    <w:abstractNumId w:val="12"/>
  </w:num>
  <w:num w:numId="12" w16cid:durableId="139689105">
    <w:abstractNumId w:val="5"/>
  </w:num>
  <w:num w:numId="13" w16cid:durableId="220142796">
    <w:abstractNumId w:val="25"/>
  </w:num>
  <w:num w:numId="14" w16cid:durableId="1702440584">
    <w:abstractNumId w:val="3"/>
  </w:num>
  <w:num w:numId="15" w16cid:durableId="792209690">
    <w:abstractNumId w:val="13"/>
  </w:num>
  <w:num w:numId="16" w16cid:durableId="204412373">
    <w:abstractNumId w:val="2"/>
  </w:num>
  <w:num w:numId="17" w16cid:durableId="311058146">
    <w:abstractNumId w:val="11"/>
  </w:num>
  <w:num w:numId="18" w16cid:durableId="1375042823">
    <w:abstractNumId w:val="24"/>
  </w:num>
  <w:num w:numId="19" w16cid:durableId="548764082">
    <w:abstractNumId w:val="17"/>
  </w:num>
  <w:num w:numId="20" w16cid:durableId="1878852294">
    <w:abstractNumId w:val="17"/>
  </w:num>
  <w:num w:numId="21" w16cid:durableId="17708419">
    <w:abstractNumId w:val="17"/>
  </w:num>
  <w:num w:numId="22" w16cid:durableId="1981955716">
    <w:abstractNumId w:val="14"/>
  </w:num>
  <w:num w:numId="23" w16cid:durableId="662588562">
    <w:abstractNumId w:val="17"/>
  </w:num>
  <w:num w:numId="24" w16cid:durableId="1828743873">
    <w:abstractNumId w:val="17"/>
  </w:num>
  <w:num w:numId="25" w16cid:durableId="938829457">
    <w:abstractNumId w:val="17"/>
  </w:num>
  <w:num w:numId="26" w16cid:durableId="1783114013">
    <w:abstractNumId w:val="6"/>
  </w:num>
  <w:num w:numId="27" w16cid:durableId="223027810">
    <w:abstractNumId w:val="15"/>
  </w:num>
  <w:num w:numId="28" w16cid:durableId="1569345465">
    <w:abstractNumId w:val="18"/>
  </w:num>
  <w:num w:numId="29" w16cid:durableId="1997879120">
    <w:abstractNumId w:val="7"/>
  </w:num>
  <w:num w:numId="30" w16cid:durableId="1636326606">
    <w:abstractNumId w:val="8"/>
  </w:num>
  <w:num w:numId="31" w16cid:durableId="1483423093">
    <w:abstractNumId w:val="20"/>
  </w:num>
  <w:num w:numId="32" w16cid:durableId="459230832">
    <w:abstractNumId w:val="10"/>
  </w:num>
  <w:num w:numId="33" w16cid:durableId="1921864991">
    <w:abstractNumId w:val="21"/>
  </w:num>
  <w:num w:numId="34" w16cid:durableId="1947275135">
    <w:abstractNumId w:val="17"/>
  </w:num>
  <w:num w:numId="35" w16cid:durableId="461076557">
    <w:abstractNumId w:val="1"/>
  </w:num>
  <w:num w:numId="36" w16cid:durableId="639506080">
    <w:abstractNumId w:val="12"/>
  </w:num>
  <w:num w:numId="37" w16cid:durableId="11960056">
    <w:abstractNumId w:val="25"/>
  </w:num>
  <w:num w:numId="38" w16cid:durableId="602567636">
    <w:abstractNumId w:val="13"/>
  </w:num>
  <w:num w:numId="39" w16cid:durableId="586155912">
    <w:abstractNumId w:val="11"/>
  </w:num>
  <w:num w:numId="40" w16cid:durableId="395861984">
    <w:abstractNumId w:val="24"/>
  </w:num>
  <w:num w:numId="41" w16cid:durableId="454718532">
    <w:abstractNumId w:val="17"/>
  </w:num>
  <w:num w:numId="42" w16cid:durableId="499932418">
    <w:abstractNumId w:val="17"/>
  </w:num>
  <w:num w:numId="43" w16cid:durableId="1188368001">
    <w:abstractNumId w:val="17"/>
  </w:num>
  <w:num w:numId="44" w16cid:durableId="703481355">
    <w:abstractNumId w:val="14"/>
  </w:num>
  <w:num w:numId="45" w16cid:durableId="347633752">
    <w:abstractNumId w:val="17"/>
  </w:num>
  <w:num w:numId="46" w16cid:durableId="649559687">
    <w:abstractNumId w:val="17"/>
  </w:num>
  <w:num w:numId="47" w16cid:durableId="913708498">
    <w:abstractNumId w:val="17"/>
  </w:num>
  <w:num w:numId="48" w16cid:durableId="1026293930">
    <w:abstractNumId w:val="23"/>
  </w:num>
  <w:num w:numId="49" w16cid:durableId="565187480">
    <w:abstractNumId w:val="16"/>
  </w:num>
  <w:num w:numId="50" w16cid:durableId="162792606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ED1"/>
    <w:rsid w:val="0000273D"/>
    <w:rsid w:val="00003C80"/>
    <w:rsid w:val="00020C6E"/>
    <w:rsid w:val="0003505D"/>
    <w:rsid w:val="00042CCD"/>
    <w:rsid w:val="0005166F"/>
    <w:rsid w:val="00052151"/>
    <w:rsid w:val="0005369A"/>
    <w:rsid w:val="00054CB4"/>
    <w:rsid w:val="0005678C"/>
    <w:rsid w:val="00057B33"/>
    <w:rsid w:val="00066BC6"/>
    <w:rsid w:val="00071067"/>
    <w:rsid w:val="00072AF4"/>
    <w:rsid w:val="00074950"/>
    <w:rsid w:val="00076CF2"/>
    <w:rsid w:val="00077D3B"/>
    <w:rsid w:val="00084508"/>
    <w:rsid w:val="000920C5"/>
    <w:rsid w:val="000A735D"/>
    <w:rsid w:val="000B1718"/>
    <w:rsid w:val="000B4A23"/>
    <w:rsid w:val="000E405A"/>
    <w:rsid w:val="000F13CA"/>
    <w:rsid w:val="001032EF"/>
    <w:rsid w:val="001101CB"/>
    <w:rsid w:val="001101F7"/>
    <w:rsid w:val="00113321"/>
    <w:rsid w:val="00117EC6"/>
    <w:rsid w:val="0012646C"/>
    <w:rsid w:val="001452C8"/>
    <w:rsid w:val="00166A8C"/>
    <w:rsid w:val="00171D5D"/>
    <w:rsid w:val="00172AD2"/>
    <w:rsid w:val="001829DA"/>
    <w:rsid w:val="001A5BDB"/>
    <w:rsid w:val="001A7A1A"/>
    <w:rsid w:val="001A7C04"/>
    <w:rsid w:val="001B229D"/>
    <w:rsid w:val="001C1D9E"/>
    <w:rsid w:val="001C66F4"/>
    <w:rsid w:val="001D0CCF"/>
    <w:rsid w:val="001E5899"/>
    <w:rsid w:val="001F2F0A"/>
    <w:rsid w:val="001F406A"/>
    <w:rsid w:val="0020799C"/>
    <w:rsid w:val="00210810"/>
    <w:rsid w:val="002162C5"/>
    <w:rsid w:val="002273FE"/>
    <w:rsid w:val="00237A34"/>
    <w:rsid w:val="00240331"/>
    <w:rsid w:val="00251D9A"/>
    <w:rsid w:val="0027120C"/>
    <w:rsid w:val="00274025"/>
    <w:rsid w:val="00281697"/>
    <w:rsid w:val="002A5F87"/>
    <w:rsid w:val="002B18DA"/>
    <w:rsid w:val="002B43C2"/>
    <w:rsid w:val="002C37FC"/>
    <w:rsid w:val="002C541D"/>
    <w:rsid w:val="002D7905"/>
    <w:rsid w:val="002E03E7"/>
    <w:rsid w:val="002E6B96"/>
    <w:rsid w:val="002E76C0"/>
    <w:rsid w:val="002F3685"/>
    <w:rsid w:val="00300A17"/>
    <w:rsid w:val="0030121A"/>
    <w:rsid w:val="003123B0"/>
    <w:rsid w:val="003208F0"/>
    <w:rsid w:val="00320B07"/>
    <w:rsid w:val="003348BD"/>
    <w:rsid w:val="0034185B"/>
    <w:rsid w:val="00356D55"/>
    <w:rsid w:val="00362717"/>
    <w:rsid w:val="0036350A"/>
    <w:rsid w:val="00377CEB"/>
    <w:rsid w:val="003818D2"/>
    <w:rsid w:val="003B6507"/>
    <w:rsid w:val="003C53A6"/>
    <w:rsid w:val="003C7828"/>
    <w:rsid w:val="003D4879"/>
    <w:rsid w:val="003D7385"/>
    <w:rsid w:val="003E2A13"/>
    <w:rsid w:val="003F456C"/>
    <w:rsid w:val="00422816"/>
    <w:rsid w:val="00424F5B"/>
    <w:rsid w:val="00432C85"/>
    <w:rsid w:val="00434766"/>
    <w:rsid w:val="004362A5"/>
    <w:rsid w:val="00451893"/>
    <w:rsid w:val="00452F87"/>
    <w:rsid w:val="00456B41"/>
    <w:rsid w:val="004633F7"/>
    <w:rsid w:val="00464009"/>
    <w:rsid w:val="004665E5"/>
    <w:rsid w:val="00470F7C"/>
    <w:rsid w:val="0048302F"/>
    <w:rsid w:val="004834A4"/>
    <w:rsid w:val="00491EDE"/>
    <w:rsid w:val="004B3EA4"/>
    <w:rsid w:val="004B5E7A"/>
    <w:rsid w:val="004D3698"/>
    <w:rsid w:val="004D3743"/>
    <w:rsid w:val="004D6358"/>
    <w:rsid w:val="00502312"/>
    <w:rsid w:val="00526CC4"/>
    <w:rsid w:val="0054377C"/>
    <w:rsid w:val="00543E5C"/>
    <w:rsid w:val="00544914"/>
    <w:rsid w:val="0055524F"/>
    <w:rsid w:val="00560A09"/>
    <w:rsid w:val="00570B48"/>
    <w:rsid w:val="00574413"/>
    <w:rsid w:val="00577558"/>
    <w:rsid w:val="005833F4"/>
    <w:rsid w:val="00584DF2"/>
    <w:rsid w:val="00591BF5"/>
    <w:rsid w:val="00592206"/>
    <w:rsid w:val="005B03F8"/>
    <w:rsid w:val="005B10D7"/>
    <w:rsid w:val="005B2C15"/>
    <w:rsid w:val="005B761D"/>
    <w:rsid w:val="005C157F"/>
    <w:rsid w:val="005C4252"/>
    <w:rsid w:val="005C562F"/>
    <w:rsid w:val="005C6DE8"/>
    <w:rsid w:val="005D36A3"/>
    <w:rsid w:val="005D694D"/>
    <w:rsid w:val="005E04D2"/>
    <w:rsid w:val="005E2F5D"/>
    <w:rsid w:val="005F2472"/>
    <w:rsid w:val="005F3570"/>
    <w:rsid w:val="005F681D"/>
    <w:rsid w:val="00604656"/>
    <w:rsid w:val="00606A6A"/>
    <w:rsid w:val="00621DCB"/>
    <w:rsid w:val="006236AF"/>
    <w:rsid w:val="00627E88"/>
    <w:rsid w:val="00636C4D"/>
    <w:rsid w:val="00641338"/>
    <w:rsid w:val="006534C9"/>
    <w:rsid w:val="00653A54"/>
    <w:rsid w:val="006618A4"/>
    <w:rsid w:val="00681083"/>
    <w:rsid w:val="006843C1"/>
    <w:rsid w:val="00684DAD"/>
    <w:rsid w:val="006913C2"/>
    <w:rsid w:val="006B588C"/>
    <w:rsid w:val="006B742C"/>
    <w:rsid w:val="006C4278"/>
    <w:rsid w:val="006C664B"/>
    <w:rsid w:val="006C71A5"/>
    <w:rsid w:val="006E014C"/>
    <w:rsid w:val="006E3777"/>
    <w:rsid w:val="006E5F5B"/>
    <w:rsid w:val="00717663"/>
    <w:rsid w:val="00725CDD"/>
    <w:rsid w:val="007305AC"/>
    <w:rsid w:val="00731A93"/>
    <w:rsid w:val="0073675C"/>
    <w:rsid w:val="00753A18"/>
    <w:rsid w:val="0076282D"/>
    <w:rsid w:val="007668D9"/>
    <w:rsid w:val="007875CF"/>
    <w:rsid w:val="00793DD4"/>
    <w:rsid w:val="00796C38"/>
    <w:rsid w:val="007A25C9"/>
    <w:rsid w:val="007B570F"/>
    <w:rsid w:val="007D0B2D"/>
    <w:rsid w:val="007E2776"/>
    <w:rsid w:val="007E284E"/>
    <w:rsid w:val="007F1EBA"/>
    <w:rsid w:val="007F2965"/>
    <w:rsid w:val="007F525F"/>
    <w:rsid w:val="007F71C2"/>
    <w:rsid w:val="0080541B"/>
    <w:rsid w:val="00807A2D"/>
    <w:rsid w:val="00810D6D"/>
    <w:rsid w:val="0082638C"/>
    <w:rsid w:val="00826DEA"/>
    <w:rsid w:val="008304A2"/>
    <w:rsid w:val="00834993"/>
    <w:rsid w:val="00835ED1"/>
    <w:rsid w:val="00840A93"/>
    <w:rsid w:val="00843898"/>
    <w:rsid w:val="00854209"/>
    <w:rsid w:val="008555F8"/>
    <w:rsid w:val="008561BE"/>
    <w:rsid w:val="008751C0"/>
    <w:rsid w:val="008857C1"/>
    <w:rsid w:val="0089564C"/>
    <w:rsid w:val="008C605A"/>
    <w:rsid w:val="008D0FF8"/>
    <w:rsid w:val="008D711C"/>
    <w:rsid w:val="008D75B3"/>
    <w:rsid w:val="008E0370"/>
    <w:rsid w:val="008E2FF0"/>
    <w:rsid w:val="008E31ED"/>
    <w:rsid w:val="008E34B1"/>
    <w:rsid w:val="008E404D"/>
    <w:rsid w:val="008E57A4"/>
    <w:rsid w:val="008F2909"/>
    <w:rsid w:val="0090012A"/>
    <w:rsid w:val="00903E7C"/>
    <w:rsid w:val="00913427"/>
    <w:rsid w:val="009355A4"/>
    <w:rsid w:val="00942033"/>
    <w:rsid w:val="00943145"/>
    <w:rsid w:val="00961C91"/>
    <w:rsid w:val="009705DA"/>
    <w:rsid w:val="00973833"/>
    <w:rsid w:val="00974EB4"/>
    <w:rsid w:val="00980B1F"/>
    <w:rsid w:val="0098407A"/>
    <w:rsid w:val="0098505B"/>
    <w:rsid w:val="00995063"/>
    <w:rsid w:val="009A49FF"/>
    <w:rsid w:val="009A5783"/>
    <w:rsid w:val="009A7497"/>
    <w:rsid w:val="009B418C"/>
    <w:rsid w:val="009C05E5"/>
    <w:rsid w:val="009C6538"/>
    <w:rsid w:val="009C6828"/>
    <w:rsid w:val="009C720B"/>
    <w:rsid w:val="009E4B56"/>
    <w:rsid w:val="009F4DFB"/>
    <w:rsid w:val="00A04FAF"/>
    <w:rsid w:val="00A10759"/>
    <w:rsid w:val="00A20EB3"/>
    <w:rsid w:val="00A24874"/>
    <w:rsid w:val="00A33CDA"/>
    <w:rsid w:val="00A37A4C"/>
    <w:rsid w:val="00A40AC7"/>
    <w:rsid w:val="00A5086E"/>
    <w:rsid w:val="00A51E33"/>
    <w:rsid w:val="00A5252F"/>
    <w:rsid w:val="00A52F06"/>
    <w:rsid w:val="00A5602D"/>
    <w:rsid w:val="00A63104"/>
    <w:rsid w:val="00A678AE"/>
    <w:rsid w:val="00A745E0"/>
    <w:rsid w:val="00A815F6"/>
    <w:rsid w:val="00A90AD2"/>
    <w:rsid w:val="00A91235"/>
    <w:rsid w:val="00A93733"/>
    <w:rsid w:val="00A9373A"/>
    <w:rsid w:val="00A97F40"/>
    <w:rsid w:val="00AA303F"/>
    <w:rsid w:val="00AB5198"/>
    <w:rsid w:val="00AC0C51"/>
    <w:rsid w:val="00AD101D"/>
    <w:rsid w:val="00AD4662"/>
    <w:rsid w:val="00AD545B"/>
    <w:rsid w:val="00AD76CE"/>
    <w:rsid w:val="00AF315F"/>
    <w:rsid w:val="00AF43B4"/>
    <w:rsid w:val="00B14B42"/>
    <w:rsid w:val="00B159C6"/>
    <w:rsid w:val="00B17835"/>
    <w:rsid w:val="00B34453"/>
    <w:rsid w:val="00B429C2"/>
    <w:rsid w:val="00B53851"/>
    <w:rsid w:val="00B92F00"/>
    <w:rsid w:val="00B94A57"/>
    <w:rsid w:val="00BA4976"/>
    <w:rsid w:val="00BB2837"/>
    <w:rsid w:val="00BD59AE"/>
    <w:rsid w:val="00BF2081"/>
    <w:rsid w:val="00BF493C"/>
    <w:rsid w:val="00C003C0"/>
    <w:rsid w:val="00C022AC"/>
    <w:rsid w:val="00C027DC"/>
    <w:rsid w:val="00C11CEC"/>
    <w:rsid w:val="00C13CCD"/>
    <w:rsid w:val="00C31B19"/>
    <w:rsid w:val="00C57AB0"/>
    <w:rsid w:val="00C62783"/>
    <w:rsid w:val="00C66858"/>
    <w:rsid w:val="00C711C5"/>
    <w:rsid w:val="00C717DD"/>
    <w:rsid w:val="00C77DE5"/>
    <w:rsid w:val="00C8334E"/>
    <w:rsid w:val="00C852F4"/>
    <w:rsid w:val="00C92376"/>
    <w:rsid w:val="00C96179"/>
    <w:rsid w:val="00C97124"/>
    <w:rsid w:val="00CA3942"/>
    <w:rsid w:val="00CB09D5"/>
    <w:rsid w:val="00CB0FC8"/>
    <w:rsid w:val="00CB65D9"/>
    <w:rsid w:val="00CD1B68"/>
    <w:rsid w:val="00CF3EC7"/>
    <w:rsid w:val="00D13BF0"/>
    <w:rsid w:val="00D23A68"/>
    <w:rsid w:val="00D46129"/>
    <w:rsid w:val="00D567F3"/>
    <w:rsid w:val="00D57B6F"/>
    <w:rsid w:val="00D65F75"/>
    <w:rsid w:val="00D724EC"/>
    <w:rsid w:val="00D73DD8"/>
    <w:rsid w:val="00D75319"/>
    <w:rsid w:val="00D778D5"/>
    <w:rsid w:val="00D84A78"/>
    <w:rsid w:val="00D957A7"/>
    <w:rsid w:val="00DC3371"/>
    <w:rsid w:val="00DD2AE7"/>
    <w:rsid w:val="00DD32C3"/>
    <w:rsid w:val="00DF0337"/>
    <w:rsid w:val="00DF3D90"/>
    <w:rsid w:val="00DF439A"/>
    <w:rsid w:val="00DF5386"/>
    <w:rsid w:val="00E02820"/>
    <w:rsid w:val="00E047D6"/>
    <w:rsid w:val="00E17E51"/>
    <w:rsid w:val="00E20D03"/>
    <w:rsid w:val="00E20FCC"/>
    <w:rsid w:val="00E23853"/>
    <w:rsid w:val="00E557E7"/>
    <w:rsid w:val="00E6743E"/>
    <w:rsid w:val="00E81AA5"/>
    <w:rsid w:val="00E956AB"/>
    <w:rsid w:val="00EA37F0"/>
    <w:rsid w:val="00EA3FA4"/>
    <w:rsid w:val="00EB31A9"/>
    <w:rsid w:val="00EB6F6C"/>
    <w:rsid w:val="00EB73EF"/>
    <w:rsid w:val="00EC2565"/>
    <w:rsid w:val="00EC27BD"/>
    <w:rsid w:val="00EE62CE"/>
    <w:rsid w:val="00F02DE6"/>
    <w:rsid w:val="00F07621"/>
    <w:rsid w:val="00F11EE7"/>
    <w:rsid w:val="00F15034"/>
    <w:rsid w:val="00F166A0"/>
    <w:rsid w:val="00F169A9"/>
    <w:rsid w:val="00F34F34"/>
    <w:rsid w:val="00F37DA3"/>
    <w:rsid w:val="00F40A1B"/>
    <w:rsid w:val="00F42F95"/>
    <w:rsid w:val="00F5165A"/>
    <w:rsid w:val="00F546AC"/>
    <w:rsid w:val="00F679BE"/>
    <w:rsid w:val="00F71E8F"/>
    <w:rsid w:val="00FA3349"/>
    <w:rsid w:val="00FB5FB9"/>
    <w:rsid w:val="00FC7D83"/>
    <w:rsid w:val="00FE23CB"/>
    <w:rsid w:val="00FE40CF"/>
    <w:rsid w:val="00FF2313"/>
    <w:rsid w:val="00FF7EF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7A636D"/>
  <w15:chartTrackingRefBased/>
  <w15:docId w15:val="{0DDBF5E9-316A-469D-B1BC-BBB5BFFAE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ucida Sans" w:eastAsiaTheme="minorHAnsi" w:hAnsi="Lucida Sans" w:cs="Times New Roman"/>
        <w:sz w:val="18"/>
        <w:szCs w:val="18"/>
        <w:lang w:val="fr-FR" w:eastAsia="en-US" w:bidi="ar-SA"/>
      </w:rPr>
    </w:rPrDefault>
    <w:pPrDefault/>
  </w:docDefaults>
  <w:latentStyles w:defLockedState="0" w:defUIPriority="99" w:defSemiHidden="0" w:defUnhideWhenUsed="0" w:defQFormat="0" w:count="376">
    <w:lsdException w:name="Normal" w:uiPriority="8" w:qFormat="1"/>
    <w:lsdException w:name="heading 1" w:uiPriority="35" w:qFormat="1"/>
    <w:lsdException w:name="heading 2" w:semiHidden="1" w:uiPriority="35" w:unhideWhenUsed="1" w:qFormat="1"/>
    <w:lsdException w:name="heading 3" w:semiHidden="1" w:uiPriority="35" w:unhideWhenUsed="1" w:qFormat="1"/>
    <w:lsdException w:name="heading 4" w:semiHidden="1" w:uiPriority="35" w:unhideWhenUsed="1" w:qFormat="1"/>
    <w:lsdException w:name="heading 5" w:semiHidden="1" w:uiPriority="35" w:unhideWhenUsed="1" w:qFormat="1"/>
    <w:lsdException w:name="heading 6" w:semiHidden="1" w:uiPriority="35"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2" w:unhideWhenUsed="1"/>
    <w:lsdException w:name="annotation text" w:semiHidden="1" w:unhideWhenUsed="1"/>
    <w:lsdException w:name="header" w:semiHidden="1" w:uiPriority="9" w:unhideWhenUsed="1"/>
    <w:lsdException w:name="footer" w:semiHidden="1" w:uiPriority="10" w:unhideWhenUsed="1"/>
    <w:lsdException w:name="index heading" w:semiHidden="1" w:unhideWhenUsed="1"/>
    <w:lsdException w:name="caption" w:semiHidden="1" w:uiPriority="4"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2" w:unhideWhenUsed="1"/>
    <w:lsdException w:name="annotation reference" w:semiHidden="1" w:unhideWhenUsed="1"/>
    <w:lsdException w:name="line number" w:semiHidden="1" w:unhideWhenUsed="1"/>
    <w:lsdException w:name="page number" w:semiHidden="1" w:uiPriority="11" w:unhideWhenUsed="1"/>
    <w:lsdException w:name="endnote reference" w:semiHidden="1" w:uiPriority="3" w:unhideWhenUsed="1"/>
    <w:lsdException w:name="endnote text" w:semiHidden="1" w:uiPriority="3"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6" w:unhideWhenUsed="1" w:qFormat="1"/>
    <w:lsdException w:name="List Number" w:semiHidden="1" w:uiPriority="7"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6" w:unhideWhenUsed="1" w:qFormat="1"/>
    <w:lsdException w:name="List Bullet 3" w:semiHidden="1" w:uiPriority="6" w:unhideWhenUsed="1" w:qFormat="1"/>
    <w:lsdException w:name="List Bullet 4" w:semiHidden="1" w:unhideWhenUsed="1"/>
    <w:lsdException w:name="List Bullet 5" w:semiHidden="1" w:unhideWhenUsed="1"/>
    <w:lsdException w:name="List Number 2" w:semiHidden="1" w:uiPriority="7" w:unhideWhenUsed="1" w:qFormat="1"/>
    <w:lsdException w:name="List Number 3" w:semiHidden="1" w:uiPriority="7" w:unhideWhenUsed="1" w:qFormat="1"/>
    <w:lsdException w:name="List Number 4" w:semiHidden="1" w:unhideWhenUsed="1"/>
    <w:lsdException w:name="List Number 5" w:semiHidden="1" w:unhideWhenUsed="1"/>
    <w:lsdException w:name="Title" w:uiPriority="35"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iPriority="43"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1" w:unhideWhenUsed="1" w:qFormat="1"/>
    <w:lsdException w:name="Body Text 3" w:semiHidden="1" w:uiPriority="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Subtle Reference" w:qFormat="1"/>
    <w:lsdException w:name="Intense Reference" w:semiHidden="1"/>
    <w:lsdException w:name="Book Title" w:semiHidden="1"/>
    <w:lsdException w:name="Bibliography" w:semiHidden="1" w:uiPriority="10"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8"/>
    <w:qFormat/>
    <w:rsid w:val="00995063"/>
    <w:pPr>
      <w:jc w:val="both"/>
    </w:pPr>
  </w:style>
  <w:style w:type="paragraph" w:styleId="Titre1">
    <w:name w:val="heading 1"/>
    <w:basedOn w:val="Normal"/>
    <w:next w:val="Corpsdetexte"/>
    <w:link w:val="Titre1Car"/>
    <w:uiPriority w:val="35"/>
    <w:qFormat/>
    <w:rsid w:val="00074950"/>
    <w:pPr>
      <w:keepNext/>
      <w:numPr>
        <w:numId w:val="47"/>
      </w:numPr>
      <w:spacing w:before="240" w:after="120"/>
      <w:outlineLvl w:val="0"/>
    </w:pPr>
    <w:rPr>
      <w:b/>
      <w:bCs/>
      <w:kern w:val="28"/>
      <w:sz w:val="28"/>
      <w:szCs w:val="36"/>
    </w:rPr>
  </w:style>
  <w:style w:type="paragraph" w:styleId="Titre2">
    <w:name w:val="heading 2"/>
    <w:basedOn w:val="Normal"/>
    <w:next w:val="Corpsdetexte"/>
    <w:link w:val="Titre2Car"/>
    <w:uiPriority w:val="35"/>
    <w:qFormat/>
    <w:rsid w:val="00D73DD8"/>
    <w:pPr>
      <w:keepNext/>
      <w:numPr>
        <w:ilvl w:val="1"/>
        <w:numId w:val="47"/>
      </w:numPr>
      <w:spacing w:before="240" w:after="120" w:line="240" w:lineRule="exact"/>
      <w:outlineLvl w:val="1"/>
    </w:pPr>
    <w:rPr>
      <w:b/>
      <w:bCs/>
      <w:sz w:val="22"/>
      <w:szCs w:val="26"/>
    </w:rPr>
  </w:style>
  <w:style w:type="paragraph" w:styleId="Titre3">
    <w:name w:val="heading 3"/>
    <w:basedOn w:val="Normal"/>
    <w:next w:val="Corpsdetexte"/>
    <w:link w:val="Titre3Car"/>
    <w:uiPriority w:val="35"/>
    <w:qFormat/>
    <w:rsid w:val="00D73DD8"/>
    <w:pPr>
      <w:keepNext/>
      <w:numPr>
        <w:ilvl w:val="2"/>
        <w:numId w:val="47"/>
      </w:numPr>
      <w:spacing w:before="240" w:after="120" w:line="240" w:lineRule="exact"/>
      <w:outlineLvl w:val="2"/>
    </w:pPr>
    <w:rPr>
      <w:b/>
      <w:bCs/>
    </w:rPr>
  </w:style>
  <w:style w:type="paragraph" w:styleId="Titre4">
    <w:name w:val="heading 4"/>
    <w:basedOn w:val="Normal"/>
    <w:next w:val="Corpsdetexte"/>
    <w:link w:val="Titre4Car"/>
    <w:uiPriority w:val="35"/>
    <w:qFormat/>
    <w:rsid w:val="00D73DD8"/>
    <w:pPr>
      <w:keepNext/>
      <w:numPr>
        <w:ilvl w:val="3"/>
        <w:numId w:val="47"/>
      </w:numPr>
      <w:spacing w:before="120" w:after="120" w:line="240" w:lineRule="exact"/>
      <w:outlineLvl w:val="3"/>
    </w:pPr>
    <w:rPr>
      <w:bCs/>
    </w:rPr>
  </w:style>
  <w:style w:type="paragraph" w:styleId="Titre5">
    <w:name w:val="heading 5"/>
    <w:basedOn w:val="Normal"/>
    <w:next w:val="Corpsdetexte"/>
    <w:link w:val="Titre5Car"/>
    <w:uiPriority w:val="35"/>
    <w:qFormat/>
    <w:rsid w:val="00D73DD8"/>
    <w:pPr>
      <w:keepNext/>
      <w:spacing w:before="120" w:after="120" w:line="240" w:lineRule="exact"/>
      <w:outlineLvl w:val="4"/>
    </w:pPr>
    <w:rPr>
      <w:u w:val="single"/>
    </w:rPr>
  </w:style>
  <w:style w:type="paragraph" w:styleId="Titre6">
    <w:name w:val="heading 6"/>
    <w:basedOn w:val="Normal"/>
    <w:next w:val="Corpsdetexte"/>
    <w:link w:val="Titre6Car"/>
    <w:uiPriority w:val="35"/>
    <w:qFormat/>
    <w:rsid w:val="00D73DD8"/>
    <w:pPr>
      <w:keepNext/>
      <w:numPr>
        <w:numId w:val="44"/>
      </w:numPr>
      <w:spacing w:before="120" w:after="120" w:line="240" w:lineRule="exact"/>
      <w:outlineLvl w:val="5"/>
    </w:pPr>
    <w:rPr>
      <w:b/>
      <w:bCs/>
      <w:i/>
      <w:szCs w:val="22"/>
    </w:rPr>
  </w:style>
  <w:style w:type="paragraph" w:styleId="Titre7">
    <w:name w:val="heading 7"/>
    <w:basedOn w:val="Normal"/>
    <w:next w:val="Normal"/>
    <w:link w:val="Titre7Car"/>
    <w:uiPriority w:val="99"/>
    <w:semiHidden/>
    <w:rsid w:val="00D73DD8"/>
    <w:pPr>
      <w:numPr>
        <w:ilvl w:val="6"/>
        <w:numId w:val="47"/>
      </w:numPr>
      <w:outlineLvl w:val="6"/>
    </w:pPr>
    <w:rPr>
      <w:rFonts w:ascii="Arial" w:hAnsi="Arial" w:cs="Arial"/>
    </w:rPr>
  </w:style>
  <w:style w:type="paragraph" w:styleId="Titre8">
    <w:name w:val="heading 8"/>
    <w:basedOn w:val="Normal"/>
    <w:next w:val="Normal"/>
    <w:link w:val="Titre8Car"/>
    <w:uiPriority w:val="99"/>
    <w:semiHidden/>
    <w:rsid w:val="00D73DD8"/>
    <w:pPr>
      <w:numPr>
        <w:ilvl w:val="7"/>
        <w:numId w:val="47"/>
      </w:numPr>
      <w:outlineLvl w:val="7"/>
    </w:pPr>
    <w:rPr>
      <w:rFonts w:ascii="Arial" w:hAnsi="Arial" w:cs="Arial"/>
      <w:i/>
      <w:iCs/>
    </w:rPr>
  </w:style>
  <w:style w:type="paragraph" w:styleId="Titre9">
    <w:name w:val="heading 9"/>
    <w:basedOn w:val="Normal"/>
    <w:next w:val="Normal"/>
    <w:link w:val="Titre9Car"/>
    <w:uiPriority w:val="99"/>
    <w:semiHidden/>
    <w:rsid w:val="00D73DD8"/>
    <w:pPr>
      <w:numPr>
        <w:ilvl w:val="8"/>
        <w:numId w:val="47"/>
      </w:numPr>
      <w:outlineLvl w:val="8"/>
    </w:pPr>
    <w:rPr>
      <w:rFonts w:ascii="Arial" w:hAnsi="Arial" w:cs="Arial"/>
      <w:b/>
      <w:bCs/>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
    <w:rsid w:val="00D73DD8"/>
    <w:pPr>
      <w:tabs>
        <w:tab w:val="right" w:pos="9072"/>
      </w:tabs>
    </w:pPr>
    <w:rPr>
      <w:sz w:val="14"/>
      <w:szCs w:val="20"/>
    </w:rPr>
  </w:style>
  <w:style w:type="character" w:customStyle="1" w:styleId="En-tteCar">
    <w:name w:val="En-tête Car"/>
    <w:basedOn w:val="Policepardfaut"/>
    <w:link w:val="En-tte"/>
    <w:uiPriority w:val="9"/>
    <w:rsid w:val="00636C4D"/>
    <w:rPr>
      <w:rFonts w:eastAsia="Times New Roman" w:cs="Times New Roman"/>
      <w:sz w:val="14"/>
      <w:lang w:eastAsia="fr-FR"/>
    </w:rPr>
  </w:style>
  <w:style w:type="paragraph" w:styleId="Pieddepage">
    <w:name w:val="footer"/>
    <w:basedOn w:val="Normal"/>
    <w:link w:val="PieddepageCar"/>
    <w:uiPriority w:val="10"/>
    <w:rsid w:val="00D73DD8"/>
    <w:rPr>
      <w:caps/>
      <w:sz w:val="10"/>
    </w:rPr>
  </w:style>
  <w:style w:type="character" w:customStyle="1" w:styleId="PieddepageCar">
    <w:name w:val="Pied de page Car"/>
    <w:basedOn w:val="Policepardfaut"/>
    <w:link w:val="Pieddepage"/>
    <w:uiPriority w:val="10"/>
    <w:rsid w:val="009C6828"/>
    <w:rPr>
      <w:rFonts w:eastAsia="Times New Roman" w:cs="Times New Roman"/>
      <w:caps/>
      <w:sz w:val="10"/>
      <w:szCs w:val="24"/>
      <w:lang w:eastAsia="fr-FR"/>
    </w:rPr>
  </w:style>
  <w:style w:type="paragraph" w:styleId="Textedebulles">
    <w:name w:val="Balloon Text"/>
    <w:basedOn w:val="Normal"/>
    <w:link w:val="TextedebullesCar"/>
    <w:uiPriority w:val="99"/>
    <w:semiHidden/>
    <w:rsid w:val="00D73DD8"/>
    <w:rPr>
      <w:rFonts w:ascii="Tahoma" w:hAnsi="Tahoma" w:cs="Tahoma"/>
      <w:sz w:val="16"/>
      <w:szCs w:val="16"/>
    </w:rPr>
  </w:style>
  <w:style w:type="character" w:customStyle="1" w:styleId="TextedebullesCar">
    <w:name w:val="Texte de bulles Car"/>
    <w:basedOn w:val="Policepardfaut"/>
    <w:link w:val="Textedebulles"/>
    <w:uiPriority w:val="99"/>
    <w:semiHidden/>
    <w:rsid w:val="00636C4D"/>
    <w:rPr>
      <w:rFonts w:ascii="Tahoma" w:eastAsia="Times New Roman" w:hAnsi="Tahoma" w:cs="Tahoma"/>
      <w:sz w:val="16"/>
      <w:szCs w:val="16"/>
      <w:lang w:eastAsia="fr-FR"/>
    </w:rPr>
  </w:style>
  <w:style w:type="table" w:styleId="Grilledutableau">
    <w:name w:val="Table Grid"/>
    <w:basedOn w:val="TableauNormal"/>
    <w:rsid w:val="00D73DD8"/>
    <w:rPr>
      <w:rFonts w:eastAsia="Times New Roman"/>
      <w:lang w:eastAsia="fr-F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Textedelespacerserv">
    <w:name w:val="Placeholder Text"/>
    <w:basedOn w:val="Policepardfaut"/>
    <w:uiPriority w:val="99"/>
    <w:semiHidden/>
    <w:rsid w:val="00D73DD8"/>
    <w:rPr>
      <w:color w:val="808080"/>
    </w:rPr>
  </w:style>
  <w:style w:type="paragraph" w:customStyle="1" w:styleId="AIdentification">
    <w:name w:val="A_Identification"/>
    <w:basedOn w:val="Normal"/>
    <w:next w:val="Normal"/>
    <w:uiPriority w:val="43"/>
    <w:rsid w:val="00D73DD8"/>
    <w:pPr>
      <w:jc w:val="left"/>
    </w:pPr>
    <w:rPr>
      <w:rFonts w:cstheme="minorBidi"/>
      <w:szCs w:val="16"/>
    </w:rPr>
  </w:style>
  <w:style w:type="paragraph" w:styleId="Paragraphedeliste">
    <w:name w:val="List Paragraph"/>
    <w:basedOn w:val="Normal"/>
    <w:link w:val="ParagraphedelisteCar"/>
    <w:uiPriority w:val="34"/>
    <w:qFormat/>
    <w:rsid w:val="00D73DD8"/>
    <w:pPr>
      <w:ind w:left="720"/>
      <w:contextualSpacing/>
    </w:pPr>
  </w:style>
  <w:style w:type="character" w:customStyle="1" w:styleId="ParagraphedelisteCar">
    <w:name w:val="Paragraphe de liste Car"/>
    <w:basedOn w:val="Policepardfaut"/>
    <w:link w:val="Paragraphedeliste"/>
    <w:uiPriority w:val="99"/>
    <w:semiHidden/>
    <w:rsid w:val="00843898"/>
    <w:rPr>
      <w:rFonts w:eastAsia="Times New Roman" w:cs="Times New Roman"/>
      <w:sz w:val="18"/>
      <w:szCs w:val="24"/>
      <w:lang w:eastAsia="fr-FR"/>
    </w:rPr>
  </w:style>
  <w:style w:type="paragraph" w:styleId="Listenumros">
    <w:name w:val="List Number"/>
    <w:basedOn w:val="Normal"/>
    <w:uiPriority w:val="7"/>
    <w:qFormat/>
    <w:rsid w:val="00D73DD8"/>
    <w:pPr>
      <w:numPr>
        <w:numId w:val="31"/>
      </w:numPr>
      <w:spacing w:before="60" w:after="60" w:line="240" w:lineRule="exact"/>
      <w:contextualSpacing/>
    </w:pPr>
  </w:style>
  <w:style w:type="paragraph" w:customStyle="1" w:styleId="Annexe">
    <w:name w:val="Annexe"/>
    <w:basedOn w:val="Listenumros"/>
    <w:next w:val="Corpsdetexte"/>
    <w:uiPriority w:val="37"/>
    <w:qFormat/>
    <w:locked/>
    <w:rsid w:val="00D73DD8"/>
    <w:pPr>
      <w:numPr>
        <w:numId w:val="32"/>
      </w:numPr>
      <w:tabs>
        <w:tab w:val="left" w:pos="2268"/>
      </w:tabs>
    </w:pPr>
    <w:rPr>
      <w:sz w:val="28"/>
    </w:rPr>
  </w:style>
  <w:style w:type="paragraph" w:styleId="Corpsdetexte">
    <w:name w:val="Body Text"/>
    <w:basedOn w:val="Normal"/>
    <w:link w:val="CorpsdetexteCar"/>
    <w:uiPriority w:val="1"/>
    <w:qFormat/>
    <w:rsid w:val="00D73DD8"/>
    <w:pPr>
      <w:spacing w:before="160" w:after="160" w:line="240" w:lineRule="exact"/>
    </w:pPr>
  </w:style>
  <w:style w:type="character" w:customStyle="1" w:styleId="CorpsdetexteCar">
    <w:name w:val="Corps de texte Car"/>
    <w:basedOn w:val="Policepardfaut"/>
    <w:link w:val="Corpsdetexte"/>
    <w:uiPriority w:val="1"/>
    <w:rsid w:val="00B429C2"/>
    <w:rPr>
      <w:rFonts w:eastAsia="Times New Roman" w:cs="Times New Roman"/>
      <w:sz w:val="18"/>
      <w:szCs w:val="24"/>
      <w:lang w:eastAsia="fr-FR"/>
    </w:rPr>
  </w:style>
  <w:style w:type="character" w:styleId="Appeldenotedefin">
    <w:name w:val="endnote reference"/>
    <w:basedOn w:val="Policepardfaut"/>
    <w:uiPriority w:val="3"/>
    <w:semiHidden/>
    <w:unhideWhenUsed/>
    <w:rsid w:val="00D73DD8"/>
    <w:rPr>
      <w:rFonts w:ascii="Lucida Sans Unicode" w:hAnsi="Lucida Sans Unicode"/>
      <w:sz w:val="16"/>
      <w:vertAlign w:val="baseline"/>
    </w:rPr>
  </w:style>
  <w:style w:type="character" w:styleId="Appelnotedebasdep">
    <w:name w:val="footnote reference"/>
    <w:basedOn w:val="Policepardfaut"/>
    <w:uiPriority w:val="2"/>
    <w:semiHidden/>
    <w:unhideWhenUsed/>
    <w:rsid w:val="00D73DD8"/>
    <w:rPr>
      <w:rFonts w:ascii="Times New Roman" w:hAnsi="Times New Roman"/>
      <w:sz w:val="16"/>
      <w:vertAlign w:val="superscript"/>
    </w:rPr>
  </w:style>
  <w:style w:type="paragraph" w:styleId="Bibliographie">
    <w:name w:val="Bibliography"/>
    <w:basedOn w:val="Normal"/>
    <w:next w:val="Normal"/>
    <w:uiPriority w:val="10"/>
    <w:semiHidden/>
    <w:unhideWhenUsed/>
    <w:rsid w:val="00D73DD8"/>
    <w:pPr>
      <w:tabs>
        <w:tab w:val="left" w:pos="1559"/>
      </w:tabs>
      <w:ind w:left="1559" w:hanging="1559"/>
    </w:pPr>
  </w:style>
  <w:style w:type="paragraph" w:customStyle="1" w:styleId="Chapitre">
    <w:name w:val="Chapitre"/>
    <w:basedOn w:val="Normal"/>
    <w:uiPriority w:val="35"/>
    <w:locked/>
    <w:rsid w:val="00D73DD8"/>
    <w:pPr>
      <w:numPr>
        <w:numId w:val="33"/>
      </w:numPr>
      <w:tabs>
        <w:tab w:val="left" w:pos="0"/>
      </w:tabs>
      <w:spacing w:before="840" w:line="4000" w:lineRule="exact"/>
    </w:pPr>
    <w:rPr>
      <w:rFonts w:ascii="Lucia Sans" w:hAnsi="Lucia Sans"/>
      <w:sz w:val="16"/>
      <w:szCs w:val="20"/>
    </w:rPr>
  </w:style>
  <w:style w:type="paragraph" w:styleId="Corpsdetexte2">
    <w:name w:val="Body Text 2"/>
    <w:basedOn w:val="Normal"/>
    <w:next w:val="Corpsdetexte"/>
    <w:link w:val="Corpsdetexte2Car"/>
    <w:uiPriority w:val="1"/>
    <w:rsid w:val="00D73DD8"/>
    <w:pPr>
      <w:spacing w:before="160" w:after="160" w:line="240" w:lineRule="exact"/>
    </w:pPr>
    <w:rPr>
      <w:i/>
    </w:rPr>
  </w:style>
  <w:style w:type="character" w:customStyle="1" w:styleId="Corpsdetexte2Car">
    <w:name w:val="Corps de texte 2 Car"/>
    <w:basedOn w:val="Policepardfaut"/>
    <w:link w:val="Corpsdetexte2"/>
    <w:uiPriority w:val="1"/>
    <w:rsid w:val="00B429C2"/>
    <w:rPr>
      <w:rFonts w:eastAsia="Times New Roman" w:cs="Times New Roman"/>
      <w:i/>
      <w:sz w:val="18"/>
      <w:szCs w:val="24"/>
      <w:lang w:eastAsia="fr-FR"/>
    </w:rPr>
  </w:style>
  <w:style w:type="paragraph" w:styleId="Corpsdetexte3">
    <w:name w:val="Body Text 3"/>
    <w:basedOn w:val="Normal"/>
    <w:link w:val="Corpsdetexte3Car"/>
    <w:uiPriority w:val="1"/>
    <w:rsid w:val="00D73DD8"/>
    <w:pPr>
      <w:spacing w:before="160" w:after="160" w:line="240" w:lineRule="exact"/>
    </w:pPr>
    <w:rPr>
      <w:b/>
      <w:szCs w:val="16"/>
    </w:rPr>
  </w:style>
  <w:style w:type="character" w:customStyle="1" w:styleId="Corpsdetexte3Car">
    <w:name w:val="Corps de texte 3 Car"/>
    <w:basedOn w:val="Policepardfaut"/>
    <w:link w:val="Corpsdetexte3"/>
    <w:uiPriority w:val="1"/>
    <w:rsid w:val="00B429C2"/>
    <w:rPr>
      <w:rFonts w:eastAsia="Times New Roman" w:cs="Times New Roman"/>
      <w:b/>
      <w:sz w:val="18"/>
      <w:szCs w:val="16"/>
      <w:lang w:eastAsia="fr-FR"/>
    </w:rPr>
  </w:style>
  <w:style w:type="paragraph" w:customStyle="1" w:styleId="Corpsdetexte4">
    <w:name w:val="Corps de texte 4"/>
    <w:basedOn w:val="Corpsdetexte"/>
    <w:uiPriority w:val="1"/>
    <w:rsid w:val="00D73DD8"/>
    <w:pPr>
      <w:jc w:val="center"/>
    </w:pPr>
    <w:rPr>
      <w:i/>
    </w:rPr>
  </w:style>
  <w:style w:type="paragraph" w:customStyle="1" w:styleId="Corpsdetexte5">
    <w:name w:val="Corps de texte 5"/>
    <w:basedOn w:val="Corpsdetexte4"/>
    <w:uiPriority w:val="1"/>
    <w:rsid w:val="00D73DD8"/>
    <w:rPr>
      <w:b/>
      <w:i w:val="0"/>
    </w:rPr>
  </w:style>
  <w:style w:type="character" w:styleId="Accentuationlgre">
    <w:name w:val="Subtle Emphasis"/>
    <w:uiPriority w:val="99"/>
    <w:semiHidden/>
    <w:rsid w:val="00D73DD8"/>
  </w:style>
  <w:style w:type="character" w:customStyle="1" w:styleId="Titre1Car">
    <w:name w:val="Titre 1 Car"/>
    <w:basedOn w:val="Policepardfaut"/>
    <w:link w:val="Titre1"/>
    <w:uiPriority w:val="35"/>
    <w:rsid w:val="00074950"/>
    <w:rPr>
      <w:rFonts w:eastAsia="Times New Roman" w:cs="Times New Roman"/>
      <w:b/>
      <w:bCs/>
      <w:kern w:val="28"/>
      <w:sz w:val="28"/>
      <w:szCs w:val="36"/>
      <w:lang w:eastAsia="fr-FR"/>
    </w:rPr>
  </w:style>
  <w:style w:type="paragraph" w:styleId="En-ttedetabledesmatires">
    <w:name w:val="TOC Heading"/>
    <w:basedOn w:val="Titre1"/>
    <w:next w:val="Normal"/>
    <w:uiPriority w:val="99"/>
    <w:semiHidden/>
    <w:unhideWhenUsed/>
    <w:qFormat/>
    <w:rsid w:val="00D73DD8"/>
    <w:pPr>
      <w:keepLines/>
      <w:numPr>
        <w:numId w:val="0"/>
      </w:numPr>
      <w:spacing w:before="480" w:line="276" w:lineRule="auto"/>
      <w:outlineLvl w:val="9"/>
    </w:pPr>
    <w:rPr>
      <w:rFonts w:asciiTheme="majorHAnsi" w:eastAsiaTheme="majorEastAsia" w:hAnsiTheme="majorHAnsi" w:cstheme="majorBidi"/>
      <w:color w:val="365F91" w:themeColor="accent1" w:themeShade="BF"/>
      <w:kern w:val="0"/>
      <w:szCs w:val="28"/>
    </w:rPr>
  </w:style>
  <w:style w:type="paragraph" w:styleId="Lgende">
    <w:name w:val="caption"/>
    <w:basedOn w:val="Normal"/>
    <w:next w:val="Corpsdetexte"/>
    <w:uiPriority w:val="4"/>
    <w:qFormat/>
    <w:rsid w:val="00D73DD8"/>
    <w:pPr>
      <w:tabs>
        <w:tab w:val="left" w:pos="1985"/>
      </w:tabs>
      <w:spacing w:before="160" w:after="160" w:line="240" w:lineRule="exact"/>
      <w:ind w:left="1985" w:right="992" w:hanging="1985"/>
      <w:jc w:val="lowKashida"/>
    </w:pPr>
    <w:rPr>
      <w:i/>
      <w:iCs/>
    </w:rPr>
  </w:style>
  <w:style w:type="character" w:styleId="Lienhypertexte">
    <w:name w:val="Hyperlink"/>
    <w:basedOn w:val="Policepardfaut"/>
    <w:uiPriority w:val="99"/>
    <w:rsid w:val="00D73DD8"/>
    <w:rPr>
      <w:color w:val="0000FF"/>
      <w:u w:val="none"/>
    </w:rPr>
  </w:style>
  <w:style w:type="paragraph" w:styleId="Liste">
    <w:name w:val="List"/>
    <w:basedOn w:val="Normal"/>
    <w:uiPriority w:val="99"/>
    <w:semiHidden/>
    <w:rsid w:val="00D73DD8"/>
    <w:pPr>
      <w:ind w:left="283" w:hanging="283"/>
      <w:contextualSpacing/>
    </w:pPr>
  </w:style>
  <w:style w:type="paragraph" w:styleId="Listenumros2">
    <w:name w:val="List Number 2"/>
    <w:basedOn w:val="Normal"/>
    <w:uiPriority w:val="7"/>
    <w:qFormat/>
    <w:rsid w:val="00D73DD8"/>
    <w:pPr>
      <w:numPr>
        <w:numId w:val="35"/>
      </w:numPr>
      <w:spacing w:before="60" w:after="60" w:line="240" w:lineRule="exact"/>
      <w:contextualSpacing/>
    </w:pPr>
  </w:style>
  <w:style w:type="paragraph" w:styleId="Listenumros3">
    <w:name w:val="List Number 3"/>
    <w:basedOn w:val="Normal"/>
    <w:uiPriority w:val="7"/>
    <w:qFormat/>
    <w:rsid w:val="00D73DD8"/>
    <w:pPr>
      <w:numPr>
        <w:numId w:val="36"/>
      </w:numPr>
      <w:spacing w:before="60" w:after="60" w:line="240" w:lineRule="exact"/>
      <w:contextualSpacing/>
    </w:pPr>
  </w:style>
  <w:style w:type="paragraph" w:styleId="Listepuces">
    <w:name w:val="List Bullet"/>
    <w:basedOn w:val="Normal"/>
    <w:uiPriority w:val="6"/>
    <w:qFormat/>
    <w:rsid w:val="00D73DD8"/>
    <w:pPr>
      <w:numPr>
        <w:numId w:val="37"/>
      </w:numPr>
      <w:spacing w:before="60" w:after="60" w:line="240" w:lineRule="exact"/>
      <w:contextualSpacing/>
    </w:pPr>
  </w:style>
  <w:style w:type="paragraph" w:styleId="Listepuces2">
    <w:name w:val="List Bullet 2"/>
    <w:basedOn w:val="Normal"/>
    <w:uiPriority w:val="6"/>
    <w:qFormat/>
    <w:rsid w:val="00D73DD8"/>
    <w:pPr>
      <w:numPr>
        <w:numId w:val="38"/>
      </w:numPr>
      <w:spacing w:before="60" w:after="60" w:line="240" w:lineRule="exact"/>
      <w:contextualSpacing/>
    </w:pPr>
  </w:style>
  <w:style w:type="paragraph" w:styleId="Listepuces3">
    <w:name w:val="List Bullet 3"/>
    <w:basedOn w:val="Normal"/>
    <w:uiPriority w:val="6"/>
    <w:qFormat/>
    <w:rsid w:val="00D73DD8"/>
    <w:pPr>
      <w:numPr>
        <w:numId w:val="39"/>
      </w:numPr>
      <w:spacing w:before="60" w:after="60" w:line="240" w:lineRule="exact"/>
      <w:contextualSpacing/>
    </w:pPr>
  </w:style>
  <w:style w:type="paragraph" w:styleId="Notedebasdepage">
    <w:name w:val="footnote text"/>
    <w:basedOn w:val="Normal"/>
    <w:link w:val="NotedebasdepageCar"/>
    <w:uiPriority w:val="2"/>
    <w:semiHidden/>
    <w:unhideWhenUsed/>
    <w:rsid w:val="00D73DD8"/>
    <w:pPr>
      <w:tabs>
        <w:tab w:val="left" w:pos="284"/>
      </w:tabs>
      <w:ind w:left="284" w:hanging="284"/>
    </w:pPr>
    <w:rPr>
      <w:sz w:val="16"/>
      <w:szCs w:val="16"/>
    </w:rPr>
  </w:style>
  <w:style w:type="character" w:customStyle="1" w:styleId="NotedebasdepageCar">
    <w:name w:val="Note de bas de page Car"/>
    <w:basedOn w:val="Policepardfaut"/>
    <w:link w:val="Notedebasdepage"/>
    <w:uiPriority w:val="2"/>
    <w:semiHidden/>
    <w:rsid w:val="00B429C2"/>
    <w:rPr>
      <w:rFonts w:eastAsia="Times New Roman" w:cs="Times New Roman"/>
      <w:sz w:val="16"/>
      <w:szCs w:val="16"/>
      <w:lang w:eastAsia="fr-FR"/>
    </w:rPr>
  </w:style>
  <w:style w:type="paragraph" w:styleId="Notedefin">
    <w:name w:val="endnote text"/>
    <w:basedOn w:val="Normal"/>
    <w:link w:val="NotedefinCar"/>
    <w:uiPriority w:val="3"/>
    <w:semiHidden/>
    <w:unhideWhenUsed/>
    <w:rsid w:val="00D73DD8"/>
    <w:pPr>
      <w:ind w:left="425" w:hanging="425"/>
    </w:pPr>
    <w:rPr>
      <w:szCs w:val="20"/>
    </w:rPr>
  </w:style>
  <w:style w:type="character" w:customStyle="1" w:styleId="NotedefinCar">
    <w:name w:val="Note de fin Car"/>
    <w:basedOn w:val="Policepardfaut"/>
    <w:link w:val="Notedefin"/>
    <w:uiPriority w:val="3"/>
    <w:semiHidden/>
    <w:rsid w:val="00B429C2"/>
    <w:rPr>
      <w:rFonts w:eastAsia="Times New Roman" w:cs="Times New Roman"/>
      <w:sz w:val="18"/>
      <w:lang w:eastAsia="fr-FR"/>
    </w:rPr>
  </w:style>
  <w:style w:type="paragraph" w:customStyle="1" w:styleId="NumroAndra">
    <w:name w:val="Numéro Andra"/>
    <w:basedOn w:val="En-tte"/>
    <w:uiPriority w:val="9"/>
    <w:qFormat/>
    <w:rsid w:val="00D73DD8"/>
    <w:pPr>
      <w:jc w:val="right"/>
    </w:pPr>
  </w:style>
  <w:style w:type="character" w:styleId="Numrodepage">
    <w:name w:val="page number"/>
    <w:basedOn w:val="Policepardfaut"/>
    <w:uiPriority w:val="11"/>
    <w:rsid w:val="00D73DD8"/>
    <w:rPr>
      <w:rFonts w:ascii="Lucida Sans" w:hAnsi="Lucida Sans"/>
      <w:sz w:val="14"/>
    </w:rPr>
  </w:style>
  <w:style w:type="paragraph" w:customStyle="1" w:styleId="TitreFRM">
    <w:name w:val="Titre FRM"/>
    <w:basedOn w:val="Normal"/>
    <w:uiPriority w:val="43"/>
    <w:locked/>
    <w:rsid w:val="00D73DD8"/>
    <w:pPr>
      <w:spacing w:before="60"/>
      <w:jc w:val="left"/>
    </w:pPr>
    <w:rPr>
      <w:b/>
      <w:bCs/>
      <w:sz w:val="28"/>
    </w:rPr>
  </w:style>
  <w:style w:type="paragraph" w:customStyle="1" w:styleId="Numroformulaire">
    <w:name w:val="Numéro formulaire"/>
    <w:basedOn w:val="TitreFRM"/>
    <w:uiPriority w:val="43"/>
    <w:qFormat/>
    <w:locked/>
    <w:rsid w:val="00D73DD8"/>
    <w:pPr>
      <w:spacing w:before="0"/>
    </w:pPr>
    <w:rPr>
      <w:b w:val="0"/>
      <w:sz w:val="10"/>
    </w:rPr>
  </w:style>
  <w:style w:type="paragraph" w:customStyle="1" w:styleId="TITRE">
    <w:name w:val="TITRE"/>
    <w:basedOn w:val="Titre1"/>
    <w:next w:val="Corpsdetexte"/>
    <w:uiPriority w:val="35"/>
    <w:qFormat/>
    <w:rsid w:val="00D73DD8"/>
    <w:pPr>
      <w:numPr>
        <w:numId w:val="0"/>
      </w:numPr>
      <w:spacing w:after="600"/>
      <w:jc w:val="center"/>
    </w:pPr>
    <w:rPr>
      <w:caps/>
      <w:sz w:val="40"/>
    </w:rPr>
  </w:style>
  <w:style w:type="paragraph" w:customStyle="1" w:styleId="PageAnnexes">
    <w:name w:val="Page Annexes"/>
    <w:basedOn w:val="TITRE"/>
    <w:uiPriority w:val="36"/>
    <w:rsid w:val="00D73DD8"/>
  </w:style>
  <w:style w:type="paragraph" w:customStyle="1" w:styleId="PieddepageFRM">
    <w:name w:val="Pied de page FRM"/>
    <w:basedOn w:val="Normal"/>
    <w:uiPriority w:val="43"/>
    <w:qFormat/>
    <w:locked/>
    <w:rsid w:val="00D73DD8"/>
    <w:pPr>
      <w:jc w:val="right"/>
    </w:pPr>
    <w:rPr>
      <w:caps/>
      <w:sz w:val="14"/>
    </w:rPr>
  </w:style>
  <w:style w:type="character" w:styleId="Rfrencelgre">
    <w:name w:val="Subtle Reference"/>
    <w:basedOn w:val="Policepardfaut"/>
    <w:uiPriority w:val="99"/>
    <w:semiHidden/>
    <w:rsid w:val="00D73DD8"/>
    <w:rPr>
      <w:smallCaps/>
      <w:color w:val="C0504D" w:themeColor="accent2"/>
      <w:u w:val="single"/>
    </w:rPr>
  </w:style>
  <w:style w:type="paragraph" w:customStyle="1" w:styleId="Rfrencesbibliographiques">
    <w:name w:val="Références bibliographiques"/>
    <w:basedOn w:val="Normal"/>
    <w:uiPriority w:val="19"/>
    <w:qFormat/>
    <w:locked/>
    <w:rsid w:val="00D73DD8"/>
    <w:pPr>
      <w:tabs>
        <w:tab w:val="left" w:pos="425"/>
      </w:tabs>
      <w:spacing w:before="160" w:after="160" w:line="240" w:lineRule="exact"/>
      <w:ind w:left="425" w:hanging="425"/>
    </w:pPr>
  </w:style>
  <w:style w:type="paragraph" w:styleId="Retraitcorpsdetexte">
    <w:name w:val="Body Text Indent"/>
    <w:basedOn w:val="Normal"/>
    <w:link w:val="RetraitcorpsdetexteCar"/>
    <w:uiPriority w:val="99"/>
    <w:semiHidden/>
    <w:rsid w:val="00D73DD8"/>
    <w:pPr>
      <w:ind w:left="3119"/>
    </w:pPr>
  </w:style>
  <w:style w:type="character" w:customStyle="1" w:styleId="RetraitcorpsdetexteCar">
    <w:name w:val="Retrait corps de texte Car"/>
    <w:basedOn w:val="Policepardfaut"/>
    <w:link w:val="Retraitcorpsdetexte"/>
    <w:uiPriority w:val="99"/>
    <w:semiHidden/>
    <w:rsid w:val="00B429C2"/>
    <w:rPr>
      <w:rFonts w:eastAsia="Times New Roman" w:cs="Times New Roman"/>
      <w:sz w:val="18"/>
      <w:szCs w:val="24"/>
      <w:lang w:eastAsia="fr-FR"/>
    </w:rPr>
  </w:style>
  <w:style w:type="paragraph" w:styleId="Retraitcorpsdetexte2">
    <w:name w:val="Body Text Indent 2"/>
    <w:basedOn w:val="Normal"/>
    <w:link w:val="Retraitcorpsdetexte2Car"/>
    <w:uiPriority w:val="99"/>
    <w:semiHidden/>
    <w:rsid w:val="00D73DD8"/>
    <w:pPr>
      <w:ind w:left="1134" w:hanging="1134"/>
    </w:pPr>
    <w:rPr>
      <w:lang w:val="en-GB"/>
    </w:rPr>
  </w:style>
  <w:style w:type="character" w:customStyle="1" w:styleId="Retraitcorpsdetexte2Car">
    <w:name w:val="Retrait corps de texte 2 Car"/>
    <w:basedOn w:val="Policepardfaut"/>
    <w:link w:val="Retraitcorpsdetexte2"/>
    <w:uiPriority w:val="99"/>
    <w:semiHidden/>
    <w:rsid w:val="00B429C2"/>
    <w:rPr>
      <w:rFonts w:eastAsia="Times New Roman" w:cs="Times New Roman"/>
      <w:sz w:val="18"/>
      <w:szCs w:val="24"/>
      <w:lang w:val="en-GB" w:eastAsia="fr-FR"/>
    </w:rPr>
  </w:style>
  <w:style w:type="paragraph" w:styleId="Retraitcorpsdetexte3">
    <w:name w:val="Body Text Indent 3"/>
    <w:basedOn w:val="Normal"/>
    <w:link w:val="Retraitcorpsdetexte3Car"/>
    <w:uiPriority w:val="99"/>
    <w:semiHidden/>
    <w:rsid w:val="00D73DD8"/>
    <w:pPr>
      <w:ind w:left="360"/>
    </w:pPr>
  </w:style>
  <w:style w:type="character" w:customStyle="1" w:styleId="Retraitcorpsdetexte3Car">
    <w:name w:val="Retrait corps de texte 3 Car"/>
    <w:basedOn w:val="Policepardfaut"/>
    <w:link w:val="Retraitcorpsdetexte3"/>
    <w:uiPriority w:val="99"/>
    <w:semiHidden/>
    <w:rsid w:val="00B429C2"/>
    <w:rPr>
      <w:rFonts w:eastAsia="Times New Roman" w:cs="Times New Roman"/>
      <w:sz w:val="18"/>
      <w:szCs w:val="24"/>
      <w:lang w:eastAsia="fr-FR"/>
    </w:rPr>
  </w:style>
  <w:style w:type="paragraph" w:customStyle="1" w:styleId="Signataire">
    <w:name w:val="Signataire"/>
    <w:basedOn w:val="Normal"/>
    <w:uiPriority w:val="43"/>
    <w:qFormat/>
    <w:locked/>
    <w:rsid w:val="00D73DD8"/>
    <w:pPr>
      <w:spacing w:before="800" w:line="240" w:lineRule="exact"/>
      <w:ind w:left="5670"/>
      <w:jc w:val="left"/>
    </w:pPr>
    <w:rPr>
      <w:caps/>
    </w:rPr>
  </w:style>
  <w:style w:type="character" w:customStyle="1" w:styleId="StyleArrialNarrowBoldGras">
    <w:name w:val="Style Arrial Narrow Bold Gras"/>
    <w:basedOn w:val="Policepardfaut"/>
    <w:uiPriority w:val="99"/>
    <w:semiHidden/>
    <w:unhideWhenUsed/>
    <w:locked/>
    <w:rsid w:val="00D73DD8"/>
    <w:rPr>
      <w:rFonts w:ascii="Arrial Narrow Bold" w:hAnsi="Arrial Narrow Bold"/>
      <w:b/>
      <w:bCs/>
      <w:sz w:val="32"/>
    </w:rPr>
  </w:style>
  <w:style w:type="numbering" w:customStyle="1" w:styleId="Style1">
    <w:name w:val="Style1"/>
    <w:uiPriority w:val="99"/>
    <w:locked/>
    <w:rsid w:val="00D73DD8"/>
    <w:pPr>
      <w:numPr>
        <w:numId w:val="18"/>
      </w:numPr>
    </w:pPr>
  </w:style>
  <w:style w:type="paragraph" w:styleId="TM2">
    <w:name w:val="toc 2"/>
    <w:basedOn w:val="Normal"/>
    <w:next w:val="TM3"/>
    <w:uiPriority w:val="39"/>
    <w:qFormat/>
    <w:rsid w:val="00D73DD8"/>
    <w:pPr>
      <w:tabs>
        <w:tab w:val="left" w:pos="1701"/>
        <w:tab w:val="right" w:pos="8930"/>
      </w:tabs>
      <w:spacing w:before="60" w:after="60" w:line="240" w:lineRule="exact"/>
      <w:ind w:left="1418" w:right="851" w:hanging="851"/>
    </w:pPr>
    <w:rPr>
      <w:b/>
      <w:bCs/>
      <w:i/>
      <w:noProof/>
      <w:szCs w:val="22"/>
    </w:rPr>
  </w:style>
  <w:style w:type="paragraph" w:styleId="TM3">
    <w:name w:val="toc 3"/>
    <w:basedOn w:val="Normal"/>
    <w:next w:val="Normal"/>
    <w:uiPriority w:val="39"/>
    <w:qFormat/>
    <w:rsid w:val="00D73DD8"/>
    <w:pPr>
      <w:tabs>
        <w:tab w:val="right" w:pos="8930"/>
      </w:tabs>
      <w:spacing w:line="240" w:lineRule="exact"/>
      <w:ind w:left="1418" w:right="851" w:hanging="851"/>
    </w:pPr>
  </w:style>
  <w:style w:type="paragraph" w:customStyle="1" w:styleId="Tablechapitre">
    <w:name w:val="Table chapitre"/>
    <w:basedOn w:val="TM2"/>
    <w:next w:val="Normal"/>
    <w:uiPriority w:val="39"/>
    <w:qFormat/>
    <w:rsid w:val="00D73DD8"/>
    <w:pPr>
      <w:tabs>
        <w:tab w:val="clear" w:pos="1701"/>
      </w:tabs>
      <w:spacing w:before="0" w:after="0"/>
      <w:ind w:left="3544"/>
    </w:pPr>
    <w:rPr>
      <w:sz w:val="20"/>
    </w:rPr>
  </w:style>
  <w:style w:type="paragraph" w:styleId="Tabledesillustrations">
    <w:name w:val="table of figures"/>
    <w:basedOn w:val="Normal"/>
    <w:next w:val="Corpsdetexte"/>
    <w:uiPriority w:val="39"/>
    <w:rsid w:val="00D73DD8"/>
    <w:pPr>
      <w:tabs>
        <w:tab w:val="right" w:pos="8930"/>
      </w:tabs>
      <w:spacing w:line="240" w:lineRule="exact"/>
      <w:ind w:left="1701" w:right="851" w:hanging="1701"/>
      <w:contextualSpacing/>
    </w:pPr>
  </w:style>
  <w:style w:type="paragraph" w:styleId="Titre0">
    <w:name w:val="Title"/>
    <w:basedOn w:val="Normal"/>
    <w:next w:val="Corpsdetexte"/>
    <w:link w:val="TitreCar"/>
    <w:uiPriority w:val="35"/>
    <w:qFormat/>
    <w:rsid w:val="00D73DD8"/>
    <w:pPr>
      <w:spacing w:before="300" w:after="300"/>
      <w:ind w:left="1701"/>
      <w:contextualSpacing/>
    </w:pPr>
    <w:rPr>
      <w:rFonts w:eastAsiaTheme="majorEastAsia" w:cstheme="majorBidi"/>
      <w:b/>
      <w:spacing w:val="5"/>
      <w:kern w:val="28"/>
      <w:sz w:val="26"/>
      <w:szCs w:val="52"/>
    </w:rPr>
  </w:style>
  <w:style w:type="character" w:customStyle="1" w:styleId="TitreCar">
    <w:name w:val="Titre Car"/>
    <w:basedOn w:val="Policepardfaut"/>
    <w:link w:val="Titre0"/>
    <w:uiPriority w:val="35"/>
    <w:rsid w:val="00B429C2"/>
    <w:rPr>
      <w:rFonts w:eastAsiaTheme="majorEastAsia" w:cstheme="majorBidi"/>
      <w:b/>
      <w:spacing w:val="5"/>
      <w:kern w:val="28"/>
      <w:sz w:val="26"/>
      <w:szCs w:val="52"/>
      <w:lang w:eastAsia="fr-FR"/>
    </w:rPr>
  </w:style>
  <w:style w:type="character" w:customStyle="1" w:styleId="Titre2Car">
    <w:name w:val="Titre 2 Car"/>
    <w:basedOn w:val="Policepardfaut"/>
    <w:link w:val="Titre2"/>
    <w:uiPriority w:val="35"/>
    <w:rsid w:val="00B429C2"/>
    <w:rPr>
      <w:rFonts w:eastAsia="Times New Roman" w:cs="Times New Roman"/>
      <w:b/>
      <w:bCs/>
      <w:sz w:val="22"/>
      <w:szCs w:val="26"/>
      <w:lang w:eastAsia="fr-FR"/>
    </w:rPr>
  </w:style>
  <w:style w:type="character" w:customStyle="1" w:styleId="Titre3Car">
    <w:name w:val="Titre 3 Car"/>
    <w:basedOn w:val="Policepardfaut"/>
    <w:link w:val="Titre3"/>
    <w:uiPriority w:val="35"/>
    <w:rsid w:val="00B429C2"/>
    <w:rPr>
      <w:rFonts w:eastAsia="Times New Roman" w:cs="Times New Roman"/>
      <w:b/>
      <w:bCs/>
      <w:sz w:val="18"/>
      <w:szCs w:val="24"/>
      <w:lang w:eastAsia="fr-FR"/>
    </w:rPr>
  </w:style>
  <w:style w:type="character" w:customStyle="1" w:styleId="Titre4Car">
    <w:name w:val="Titre 4 Car"/>
    <w:basedOn w:val="Policepardfaut"/>
    <w:link w:val="Titre4"/>
    <w:uiPriority w:val="35"/>
    <w:rsid w:val="00B429C2"/>
    <w:rPr>
      <w:rFonts w:eastAsia="Times New Roman" w:cs="Times New Roman"/>
      <w:bCs/>
      <w:sz w:val="18"/>
      <w:szCs w:val="24"/>
      <w:lang w:eastAsia="fr-FR"/>
    </w:rPr>
  </w:style>
  <w:style w:type="character" w:customStyle="1" w:styleId="Titre5Car">
    <w:name w:val="Titre 5 Car"/>
    <w:basedOn w:val="Policepardfaut"/>
    <w:link w:val="Titre5"/>
    <w:uiPriority w:val="35"/>
    <w:rsid w:val="00B429C2"/>
    <w:rPr>
      <w:rFonts w:eastAsia="Times New Roman" w:cs="Times New Roman"/>
      <w:sz w:val="18"/>
      <w:szCs w:val="24"/>
      <w:u w:val="single"/>
      <w:lang w:eastAsia="fr-FR"/>
    </w:rPr>
  </w:style>
  <w:style w:type="character" w:customStyle="1" w:styleId="Titre6Car">
    <w:name w:val="Titre 6 Car"/>
    <w:basedOn w:val="Policepardfaut"/>
    <w:link w:val="Titre6"/>
    <w:uiPriority w:val="35"/>
    <w:rsid w:val="00B429C2"/>
    <w:rPr>
      <w:rFonts w:eastAsia="Times New Roman" w:cs="Times New Roman"/>
      <w:b/>
      <w:bCs/>
      <w:i/>
      <w:sz w:val="18"/>
      <w:szCs w:val="22"/>
      <w:lang w:eastAsia="fr-FR"/>
    </w:rPr>
  </w:style>
  <w:style w:type="character" w:customStyle="1" w:styleId="Titre7Car">
    <w:name w:val="Titre 7 Car"/>
    <w:basedOn w:val="Policepardfaut"/>
    <w:link w:val="Titre7"/>
    <w:uiPriority w:val="99"/>
    <w:semiHidden/>
    <w:rsid w:val="00B429C2"/>
    <w:rPr>
      <w:rFonts w:ascii="Arial" w:eastAsia="Times New Roman" w:hAnsi="Arial" w:cs="Arial"/>
      <w:sz w:val="18"/>
      <w:szCs w:val="24"/>
      <w:lang w:eastAsia="fr-FR"/>
    </w:rPr>
  </w:style>
  <w:style w:type="character" w:customStyle="1" w:styleId="Titre8Car">
    <w:name w:val="Titre 8 Car"/>
    <w:basedOn w:val="Policepardfaut"/>
    <w:link w:val="Titre8"/>
    <w:uiPriority w:val="99"/>
    <w:semiHidden/>
    <w:rsid w:val="00B429C2"/>
    <w:rPr>
      <w:rFonts w:ascii="Arial" w:eastAsia="Times New Roman" w:hAnsi="Arial" w:cs="Arial"/>
      <w:i/>
      <w:iCs/>
      <w:sz w:val="18"/>
      <w:szCs w:val="24"/>
      <w:lang w:eastAsia="fr-FR"/>
    </w:rPr>
  </w:style>
  <w:style w:type="character" w:customStyle="1" w:styleId="Titre9Car">
    <w:name w:val="Titre 9 Car"/>
    <w:basedOn w:val="Policepardfaut"/>
    <w:link w:val="Titre9"/>
    <w:uiPriority w:val="99"/>
    <w:semiHidden/>
    <w:rsid w:val="00B429C2"/>
    <w:rPr>
      <w:rFonts w:ascii="Arial" w:eastAsia="Times New Roman" w:hAnsi="Arial" w:cs="Arial"/>
      <w:b/>
      <w:bCs/>
      <w:i/>
      <w:iCs/>
      <w:sz w:val="18"/>
      <w:szCs w:val="18"/>
      <w:lang w:eastAsia="fr-FR"/>
    </w:rPr>
  </w:style>
  <w:style w:type="paragraph" w:customStyle="1" w:styleId="Titredossierdocen-tte">
    <w:name w:val="Titre dossier doc en-tête"/>
    <w:basedOn w:val="En-tte"/>
    <w:link w:val="Titredossierdocen-tteCar"/>
    <w:uiPriority w:val="9"/>
    <w:qFormat/>
    <w:rsid w:val="00D73DD8"/>
    <w:pPr>
      <w:jc w:val="right"/>
    </w:pPr>
    <w:rPr>
      <w:i/>
    </w:rPr>
  </w:style>
  <w:style w:type="paragraph" w:customStyle="1" w:styleId="Titreen-tte">
    <w:name w:val="Titre en-tête"/>
    <w:basedOn w:val="En-tte"/>
    <w:link w:val="Titreen-tteCar"/>
    <w:uiPriority w:val="9"/>
    <w:qFormat/>
    <w:rsid w:val="00D73DD8"/>
    <w:pPr>
      <w:ind w:left="284" w:hanging="284"/>
      <w:jc w:val="left"/>
    </w:pPr>
    <w:rPr>
      <w:b/>
    </w:rPr>
  </w:style>
  <w:style w:type="paragraph" w:customStyle="1" w:styleId="TitrePG">
    <w:name w:val="Titre PG"/>
    <w:basedOn w:val="Normal"/>
    <w:uiPriority w:val="43"/>
    <w:locked/>
    <w:rsid w:val="00D73DD8"/>
    <w:pPr>
      <w:ind w:left="1701" w:right="1701"/>
      <w:jc w:val="center"/>
    </w:pPr>
    <w:rPr>
      <w:b/>
      <w:sz w:val="32"/>
    </w:rPr>
  </w:style>
  <w:style w:type="paragraph" w:styleId="TM1">
    <w:name w:val="toc 1"/>
    <w:basedOn w:val="Normal"/>
    <w:next w:val="TM2"/>
    <w:uiPriority w:val="39"/>
    <w:qFormat/>
    <w:rsid w:val="00D73DD8"/>
    <w:pPr>
      <w:tabs>
        <w:tab w:val="right" w:pos="8930"/>
      </w:tabs>
      <w:spacing w:before="240" w:after="120" w:line="240" w:lineRule="exact"/>
      <w:ind w:left="567" w:right="851" w:hanging="567"/>
    </w:pPr>
    <w:rPr>
      <w:b/>
      <w:bCs/>
      <w:noProof/>
      <w:sz w:val="26"/>
      <w:szCs w:val="22"/>
    </w:rPr>
  </w:style>
  <w:style w:type="paragraph" w:styleId="TM4">
    <w:name w:val="toc 4"/>
    <w:basedOn w:val="Normal"/>
    <w:next w:val="Normal"/>
    <w:autoRedefine/>
    <w:uiPriority w:val="99"/>
    <w:semiHidden/>
    <w:rsid w:val="00D73DD8"/>
    <w:pPr>
      <w:spacing w:after="100"/>
      <w:ind w:left="660"/>
    </w:pPr>
  </w:style>
  <w:style w:type="paragraph" w:styleId="TM7">
    <w:name w:val="toc 7"/>
    <w:basedOn w:val="TM2"/>
    <w:next w:val="Normal"/>
    <w:uiPriority w:val="39"/>
    <w:rsid w:val="00D73DD8"/>
    <w:pPr>
      <w:tabs>
        <w:tab w:val="clear" w:pos="1701"/>
        <w:tab w:val="left" w:pos="1418"/>
      </w:tabs>
      <w:spacing w:before="200" w:after="100"/>
      <w:ind w:hanging="1418"/>
    </w:pPr>
  </w:style>
  <w:style w:type="character" w:customStyle="1" w:styleId="Titreen-tteCar">
    <w:name w:val="Titre en-tête Car"/>
    <w:basedOn w:val="En-tteCar"/>
    <w:link w:val="Titreen-tte"/>
    <w:uiPriority w:val="9"/>
    <w:rsid w:val="00FE40CF"/>
    <w:rPr>
      <w:rFonts w:eastAsia="Times New Roman" w:cs="Times New Roman"/>
      <w:b/>
      <w:sz w:val="14"/>
      <w:lang w:eastAsia="fr-FR"/>
    </w:rPr>
  </w:style>
  <w:style w:type="character" w:customStyle="1" w:styleId="Titredossierdocen-tteCar">
    <w:name w:val="Titre dossier doc en-tête Car"/>
    <w:basedOn w:val="En-tteCar"/>
    <w:link w:val="Titredossierdocen-tte"/>
    <w:uiPriority w:val="9"/>
    <w:rsid w:val="00FE40CF"/>
    <w:rPr>
      <w:rFonts w:eastAsia="Times New Roman" w:cs="Times New Roman"/>
      <w:i/>
      <w:sz w:val="14"/>
      <w:lang w:eastAsia="fr-FR"/>
    </w:rPr>
  </w:style>
  <w:style w:type="paragraph" w:customStyle="1" w:styleId="A-Indice">
    <w:name w:val="A-Indice"/>
    <w:basedOn w:val="AIdentification"/>
    <w:next w:val="Corpsdetexte"/>
    <w:uiPriority w:val="43"/>
    <w:qFormat/>
    <w:rsid w:val="00D73DD8"/>
    <w:rPr>
      <w:szCs w:val="18"/>
    </w:rPr>
  </w:style>
  <w:style w:type="paragraph" w:customStyle="1" w:styleId="DirectionUnit">
    <w:name w:val="Direction Unité"/>
    <w:basedOn w:val="Normal"/>
    <w:uiPriority w:val="43"/>
    <w:rsid w:val="00D73DD8"/>
    <w:pPr>
      <w:contextualSpacing/>
    </w:pPr>
    <w:rPr>
      <w:b/>
      <w:caps/>
    </w:rPr>
  </w:style>
  <w:style w:type="paragraph" w:customStyle="1" w:styleId="Service">
    <w:name w:val="Service"/>
    <w:basedOn w:val="Normal"/>
    <w:uiPriority w:val="43"/>
    <w:rsid w:val="00D73DD8"/>
    <w:pPr>
      <w:jc w:val="left"/>
    </w:pPr>
    <w:rPr>
      <w:b/>
      <w:szCs w:val="14"/>
    </w:rPr>
  </w:style>
  <w:style w:type="paragraph" w:customStyle="1" w:styleId="Adresseunit">
    <w:name w:val="Adresse unité"/>
    <w:basedOn w:val="Normal"/>
    <w:uiPriority w:val="43"/>
    <w:rsid w:val="00D73DD8"/>
    <w:pPr>
      <w:jc w:val="left"/>
    </w:pPr>
    <w:rPr>
      <w:szCs w:val="15"/>
    </w:rPr>
  </w:style>
  <w:style w:type="paragraph" w:customStyle="1" w:styleId="Civilit">
    <w:name w:val="Civilité"/>
    <w:basedOn w:val="Corpsdetexte"/>
    <w:next w:val="Corpsdetexte"/>
    <w:uiPriority w:val="43"/>
    <w:rsid w:val="00D73DD8"/>
    <w:pPr>
      <w:spacing w:before="240" w:after="480"/>
    </w:pPr>
  </w:style>
  <w:style w:type="paragraph" w:styleId="Date">
    <w:name w:val="Date"/>
    <w:basedOn w:val="Normal"/>
    <w:next w:val="Normal"/>
    <w:link w:val="DateCar"/>
    <w:uiPriority w:val="43"/>
    <w:rsid w:val="00D73DD8"/>
    <w:rPr>
      <w:i/>
    </w:rPr>
  </w:style>
  <w:style w:type="character" w:customStyle="1" w:styleId="DateCar">
    <w:name w:val="Date Car"/>
    <w:basedOn w:val="Policepardfaut"/>
    <w:link w:val="Date"/>
    <w:uiPriority w:val="43"/>
    <w:rsid w:val="00D73DD8"/>
    <w:rPr>
      <w:rFonts w:eastAsia="Times New Roman" w:cs="Times New Roman"/>
      <w:i/>
      <w:sz w:val="18"/>
      <w:szCs w:val="24"/>
      <w:lang w:eastAsia="fr-FR"/>
    </w:rPr>
  </w:style>
  <w:style w:type="paragraph" w:customStyle="1" w:styleId="Objet">
    <w:name w:val="Objet"/>
    <w:basedOn w:val="Corpsdetexte"/>
    <w:next w:val="Corpsdetexte"/>
    <w:uiPriority w:val="43"/>
    <w:qFormat/>
    <w:rsid w:val="00D73DD8"/>
    <w:pPr>
      <w:tabs>
        <w:tab w:val="left" w:pos="1418"/>
      </w:tabs>
      <w:spacing w:before="0" w:after="0"/>
    </w:pPr>
  </w:style>
  <w:style w:type="paragraph" w:customStyle="1" w:styleId="Logo">
    <w:name w:val="Logo"/>
    <w:basedOn w:val="Normal"/>
    <w:uiPriority w:val="43"/>
    <w:qFormat/>
    <w:rsid w:val="009C05E5"/>
    <w:pPr>
      <w:spacing w:after="2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06480">
      <w:bodyDiv w:val="1"/>
      <w:marLeft w:val="0"/>
      <w:marRight w:val="0"/>
      <w:marTop w:val="0"/>
      <w:marBottom w:val="0"/>
      <w:divBdr>
        <w:top w:val="none" w:sz="0" w:space="0" w:color="auto"/>
        <w:left w:val="none" w:sz="0" w:space="0" w:color="auto"/>
        <w:bottom w:val="none" w:sz="0" w:space="0" w:color="auto"/>
        <w:right w:val="none" w:sz="0" w:space="0" w:color="auto"/>
      </w:divBdr>
    </w:div>
    <w:div w:id="1626501467">
      <w:bodyDiv w:val="1"/>
      <w:marLeft w:val="0"/>
      <w:marRight w:val="0"/>
      <w:marTop w:val="0"/>
      <w:marBottom w:val="0"/>
      <w:divBdr>
        <w:top w:val="none" w:sz="0" w:space="0" w:color="auto"/>
        <w:left w:val="none" w:sz="0" w:space="0" w:color="auto"/>
        <w:bottom w:val="none" w:sz="0" w:space="0" w:color="auto"/>
        <w:right w:val="none" w:sz="0" w:space="0" w:color="auto"/>
      </w:divBdr>
    </w:div>
    <w:div w:id="2049406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france.gouv.fr/affichCodeArticle.do?cidTexte=LEGITEXT000006072050&amp;idArticle=LEGIARTI000018491139&amp;dateTexte=&amp;categorieLien=ci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legifrance.gouv.fr/affichCodeArticle.do?cidTexte=LEGITEXT000006072050&amp;idArticle=LEGIARTI000043948542&amp;dateTexte=&amp;categorieLien=id" TargetMode="External"/><Relationship Id="rId4" Type="http://schemas.openxmlformats.org/officeDocument/2006/relationships/settings" Target="settings.xml"/><Relationship Id="rId9" Type="http://schemas.openxmlformats.org/officeDocument/2006/relationships/hyperlink" Target="https://www.legifrance.gouv.fr/affichCodeArticle.do?cidTexte=LEGITEXT000006072050&amp;idArticle=LEGIARTI000018491143&amp;dateTexte=&amp;categorieLien=cid"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6E18B4-B87E-46F8-A81C-07E764E53C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916</Words>
  <Characters>5039</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Document interne</vt:lpstr>
    </vt:vector>
  </TitlesOfParts>
  <Company/>
  <LinksUpToDate>false</LinksUpToDate>
  <CharactersWithSpaces>5944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interne</dc:title>
  <dc:subject/>
  <dc:creator>CLEMENTE Colette</dc:creator>
  <cp:keywords/>
  <dc:description/>
  <cp:lastModifiedBy>CLEMENTE Colette</cp:lastModifiedBy>
  <cp:revision>2</cp:revision>
  <cp:lastPrinted>2009-03-16T15:10:00Z</cp:lastPrinted>
  <dcterms:created xsi:type="dcterms:W3CDTF">2022-10-11T14:49:00Z</dcterms:created>
  <dcterms:modified xsi:type="dcterms:W3CDTF">2022-10-11T14:49:00Z</dcterms:modified>
</cp:coreProperties>
</file>